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esm-20260803.htm"/>
      <w:bookmarkStart w:id="1" w:name="kshesm20260803"/>
      <w:bookmarkEnd w:id="0"/>
      <w:bookmarkEnd w:id="1"/>
      <w:r>
        <w:rPr/>
        <w:t>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12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3,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Hess Midstream LP</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(Exact Name of Registrant as Specified in Its Charter)</w:t>
      </w:r>
    </w:p>
    <w:tbl>
      <w:tblPr>
        <w:tblW w:w="6723" w:type="dxa"/>
        <w:jc w:val="left"/>
        <w:tblInd w:w="0" w:type="dxa"/>
        <w:tblLayout w:type="fixed"/>
        <w:tblCellMar>
          <w:top w:w="28" w:type="dxa"/>
          <w:left w:w="28" w:type="dxa"/>
          <w:bottom w:w="28" w:type="dxa"/>
          <w:right w:w="28" w:type="dxa"/>
        </w:tblCellMar>
      </w:tblPr>
      <w:tblGrid>
        <w:gridCol w:w="2371"/>
        <w:gridCol w:w="2281"/>
        <w:gridCol w:w="2071"/>
      </w:tblGrid>
      <w:tr>
        <w:trPr/>
        <w:tc>
          <w:tcPr>
            <w:tcW w:w="237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001-39163</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84-3211812</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(State or Other Jurisdiction</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of Incorporation)</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(Commission File Number)</w:t>
            </w:r>
          </w:p>
        </w:tc>
        <w:tc>
          <w:tcPr>
            <w:tcW w:w="2071"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(IRS Employer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Identification Number.)</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1400 Smith Street</w:t>
      </w:r>
    </w:p>
    <w:p>
      <w:pPr>
        <w:pStyle w:val="TextBody"/>
        <w:bidi w:val="0"/>
        <w:jc w:val="center"/>
        <w:rPr>
          <w:rFonts w:ascii="Times New Roman" w:hAnsi="Times New Roman"/>
          <w:sz w:val="20"/>
        </w:rPr>
      </w:pPr>
      <w:r>
        <w:rPr>
          <w:rFonts w:ascii="Times New Roman" w:hAnsi="Times New Roman"/>
          <w:b/>
          <w:color w:val="000000"/>
          <w:sz w:val="20"/>
        </w:rPr>
        <w:t>Houston, Texas</w:t>
      </w:r>
      <w:r>
        <w:rPr>
          <w:rFonts w:ascii="Times New Roman" w:hAnsi="Times New Roman"/>
          <w:color w:val="000000"/>
          <w:sz w:val="20"/>
        </w:rPr>
        <w:t xml:space="preserve"> </w:t>
      </w:r>
      <w:r>
        <w:rPr>
          <w:rFonts w:ascii="Times New Roman" w:hAnsi="Times New Roman"/>
          <w:b/>
          <w:color w:val="000000"/>
          <w:sz w:val="20"/>
        </w:rPr>
        <w:t>77002</w:t>
      </w:r>
    </w:p>
    <w:p>
      <w:pPr>
        <w:pStyle w:val="TextBody"/>
        <w:bidi w:val="0"/>
        <w:jc w:val="center"/>
        <w:rPr>
          <w:rFonts w:ascii="Times New Roman" w:hAnsi="Times New Roman"/>
          <w:i/>
          <w:color w:val="000000"/>
          <w:sz w:val="16"/>
        </w:rPr>
      </w:pPr>
      <w:r>
        <w:rPr>
          <w:rFonts w:ascii="Times New Roman" w:hAnsi="Times New Roman"/>
          <w:i/>
          <w:color w:val="000000"/>
          <w:sz w:val="16"/>
        </w:rPr>
        <w:t>(Address of Principal Executive Offices) (Zip Code)</w:t>
      </w:r>
    </w:p>
    <w:p>
      <w:pPr>
        <w:pStyle w:val="TextBody"/>
        <w:bidi w:val="0"/>
        <w:spacing w:before="120" w:after="12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u w:val="single"/>
        </w:rPr>
        <w:t>(832)</w:t>
      </w:r>
      <w:r>
        <w:rPr>
          <w:rFonts w:ascii="Times New Roman" w:hAnsi="Times New Roman"/>
          <w:color w:val="000000"/>
          <w:sz w:val="20"/>
          <w:u w:val="single"/>
        </w:rPr>
        <w:t xml:space="preserve"> </w:t>
      </w:r>
      <w:r>
        <w:rPr>
          <w:rFonts w:ascii="Times New Roman" w:hAnsi="Times New Roman"/>
          <w:b/>
          <w:color w:val="000000"/>
          <w:sz w:val="20"/>
          <w:u w:val="single"/>
        </w:rPr>
        <w:t>854-1000</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0" w:after="120"/>
        <w:jc w:val="center"/>
        <w:rPr>
          <w:rFonts w:ascii="Times New Roman" w:hAnsi="Times New Roman"/>
          <w:i/>
          <w:color w:val="000000"/>
          <w:sz w:val="16"/>
        </w:rPr>
      </w:pPr>
      <w:r>
        <w:rPr>
          <w:rFonts w:ascii="Times New Roman" w:hAnsi="Times New Roman"/>
          <w:i/>
          <w:color w:val="000000"/>
          <w:sz w:val="16"/>
        </w:rPr>
        <w:t>(Former Name or Former Address, if Changed Since Last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Check the appropriate box below if the Form 8</w:t>
        <w:noBreakHyphen/>
        <w:t>K filing is intended to simultaneously satisfy the filing obligation of the registrant under any of the following provisions:</w:t>
      </w:r>
    </w:p>
    <w:p>
      <w:pPr>
        <w:pStyle w:val="TextBody"/>
        <w:bidi w:val="0"/>
        <w:jc w:val="both"/>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both"/>
        <w:rPr/>
      </w:pPr>
      <w:r>
        <w:rPr>
          <w:color w:val="000000"/>
        </w:rPr>
        <w:t xml:space="preserve">☐ </w:t>
      </w:r>
      <w:r>
        <w:rPr>
          <w:rFonts w:ascii="Times New Roman" w:hAnsi="Times New Roman"/>
          <w:color w:val="000000"/>
          <w:sz w:val="20"/>
        </w:rPr>
        <w:t>Soliciting material pursuant to Rule 14a</w:t>
        <w:noBreakHyphen/>
        <w:t>12 under the Exchange Act (17 CFR 240.14a-12)</w:t>
      </w:r>
    </w:p>
    <w:p>
      <w:pPr>
        <w:pStyle w:val="TextBody"/>
        <w:bidi w:val="0"/>
        <w:jc w:val="both"/>
        <w:rPr/>
      </w:pPr>
      <w:r>
        <w:rPr>
          <w:color w:val="000000"/>
        </w:rPr>
        <w:t xml:space="preserve">☐ </w:t>
      </w:r>
      <w:r>
        <w:rPr>
          <w:rFonts w:ascii="Times New Roman" w:hAnsi="Times New Roman"/>
          <w:color w:val="000000"/>
          <w:sz w:val="20"/>
        </w:rPr>
        <w:t>Pre</w:t>
        <w:noBreakHyphen/>
        <w:t>commencement communications pursuant to Rule 14d</w:t>
        <w:noBreakHyphen/>
        <w:t>2(b) under the Exchange Act (17 CFR 240.14d</w:t>
        <w:noBreakHyphen/>
        <w:t>2(b))</w:t>
      </w:r>
    </w:p>
    <w:p>
      <w:pPr>
        <w:pStyle w:val="TextBody"/>
        <w:bidi w:val="0"/>
        <w:spacing w:before="0" w:after="120"/>
        <w:jc w:val="both"/>
        <w:rPr/>
      </w:pPr>
      <w:r>
        <w:rPr>
          <w:color w:val="000000"/>
        </w:rPr>
        <w:t xml:space="preserve">☐ </w:t>
      </w:r>
      <w:r>
        <w:rPr>
          <w:rFonts w:ascii="Times New Roman" w:hAnsi="Times New Roman"/>
          <w:color w:val="000000"/>
          <w:sz w:val="20"/>
        </w:rPr>
        <w:t>Pre</w:t>
        <w:noBreakHyphen/>
        <w:t>commencement communications pursuant to Rule 13e</w:t>
        <w:noBreakHyphen/>
        <w:t>4(c) under the Exchange Act (17 CFR 240.13e</w:t>
        <w:noBreakHyphen/>
        <w:t>4(c))</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3881"/>
        <w:gridCol w:w="1456"/>
        <w:gridCol w:w="3371"/>
      </w:tblGrid>
      <w:tr>
        <w:trPr/>
        <w:tc>
          <w:tcPr>
            <w:tcW w:w="38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ind w:left="0" w:right="0" w:firstLine="1345"/>
              <w:jc w:val="left"/>
              <w:rPr>
                <w:sz w:val="4"/>
                <w:szCs w:val="4"/>
              </w:rPr>
            </w:pPr>
            <w:r>
              <w:rPr>
                <w:sz w:val="4"/>
                <w:szCs w:val="4"/>
              </w:rPr>
            </w:r>
          </w:p>
        </w:tc>
      </w:tr>
      <w:tr>
        <w:trPr/>
        <w:tc>
          <w:tcPr>
            <w:tcW w:w="3881" w:type="dxa"/>
            <w:tcBorders/>
            <w:tcMar>
              <w:top w:w="0" w:type="dxa"/>
              <w:left w:w="0" w:type="dxa"/>
              <w:bottom w:w="0" w:type="dxa"/>
              <w:right w:w="0" w:type="dxa"/>
            </w:tcMar>
            <w:vAlign w:val="center"/>
          </w:tcPr>
          <w:p>
            <w:pPr>
              <w:pStyle w:val="TableContents"/>
              <w:bidi w:val="0"/>
              <w:spacing w:before="0" w:after="283"/>
              <w:ind w:left="0" w:right="0" w:firstLine="1345"/>
              <w:jc w:val="left"/>
              <w:rPr>
                <w:rFonts w:ascii="Times New Roman" w:hAnsi="Times New Roman"/>
                <w:i/>
                <w:color w:val="000000"/>
                <w:sz w:val="18"/>
              </w:rPr>
            </w:pPr>
            <w:r>
              <w:rPr>
                <w:rFonts w:ascii="Times New Roman" w:hAnsi="Times New Roman"/>
                <w:i/>
                <w:color w:val="000000"/>
                <w:sz w:val="18"/>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Trading Symbol(s)</w:t>
            </w:r>
          </w:p>
        </w:tc>
        <w:tc>
          <w:tcPr>
            <w:tcW w:w="3371" w:type="dxa"/>
            <w:tcBorders/>
            <w:tcMar>
              <w:top w:w="0" w:type="dxa"/>
              <w:left w:w="0" w:type="dxa"/>
              <w:bottom w:w="0" w:type="dxa"/>
              <w:right w:w="0" w:type="dxa"/>
            </w:tcMar>
            <w:vAlign w:val="center"/>
          </w:tcPr>
          <w:p>
            <w:pPr>
              <w:pStyle w:val="TableContents"/>
              <w:bidi w:val="0"/>
              <w:spacing w:before="0" w:after="283"/>
              <w:ind w:left="0" w:right="0" w:firstLine="85"/>
              <w:jc w:val="left"/>
              <w:rPr>
                <w:rFonts w:ascii="Times New Roman" w:hAnsi="Times New Roman"/>
                <w:i/>
                <w:color w:val="000000"/>
                <w:sz w:val="18"/>
              </w:rPr>
            </w:pPr>
            <w:r>
              <w:rPr>
                <w:rFonts w:ascii="Times New Roman" w:hAnsi="Times New Roman"/>
                <w:i/>
                <w:color w:val="000000"/>
                <w:sz w:val="18"/>
              </w:rPr>
              <w:t>Name of each exchange on which registered</w:t>
            </w:r>
          </w:p>
        </w:tc>
      </w:tr>
      <w:tr>
        <w:trPr/>
        <w:tc>
          <w:tcPr>
            <w:tcW w:w="3881" w:type="dxa"/>
            <w:tcBorders/>
            <w:tcMar>
              <w:top w:w="0" w:type="dxa"/>
              <w:left w:w="0" w:type="dxa"/>
              <w:bottom w:w="0" w:type="dxa"/>
              <w:right w:w="0" w:type="dxa"/>
            </w:tcMar>
            <w:vAlign w:val="center"/>
          </w:tcPr>
          <w:p>
            <w:pPr>
              <w:pStyle w:val="TableContents"/>
              <w:bidi w:val="0"/>
              <w:spacing w:before="0" w:after="283"/>
              <w:ind w:left="0" w:right="0" w:firstLine="85"/>
              <w:jc w:val="center"/>
              <w:rPr>
                <w:rFonts w:ascii="Times New Roman" w:hAnsi="Times New Roman"/>
                <w:color w:val="000000"/>
                <w:sz w:val="18"/>
              </w:rPr>
            </w:pPr>
            <w:r>
              <w:rPr>
                <w:rFonts w:ascii="Times New Roman" w:hAnsi="Times New Roman"/>
                <w:color w:val="000000"/>
                <w:sz w:val="18"/>
              </w:rPr>
              <w:t>Class A shares representing limited partner interests</w:t>
            </w:r>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18"/>
              </w:rPr>
            </w:pPr>
            <w:r>
              <w:rPr>
                <w:rFonts w:ascii="Times New Roman" w:hAnsi="Times New Roman"/>
                <w:color w:val="000000"/>
                <w:sz w:val="18"/>
              </w:rPr>
              <w:t>HESM</w:t>
            </w:r>
          </w:p>
        </w:tc>
        <w:tc>
          <w:tcPr>
            <w:tcW w:w="337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w:t>
        <w:noBreakHyphen/>
        <w:t>2 of the Securities Exchange Act of 1934 (§240.12b</w:t>
        <w:noBreakHyphen/>
        <w:t>2 of this chapter).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3, 2026, Hess Midstream LP issued a news release reporting estimated results for the second quarter of 2026. A copy of this news release is furnished as Exhibit 99.1 to this report and is incorporated by reference herein.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Exhibit</w:t>
      </w:r>
    </w:p>
    <w:tbl>
      <w:tblPr>
        <w:tblW w:w="8428" w:type="dxa"/>
        <w:jc w:val="left"/>
        <w:tblInd w:w="0" w:type="dxa"/>
        <w:tblLayout w:type="fixed"/>
        <w:tblCellMar>
          <w:top w:w="28" w:type="dxa"/>
          <w:left w:w="28" w:type="dxa"/>
          <w:bottom w:w="28" w:type="dxa"/>
          <w:right w:w="28" w:type="dxa"/>
        </w:tblCellMar>
      </w:tblPr>
      <w:tblGrid>
        <w:gridCol w:w="161"/>
        <w:gridCol w:w="466"/>
        <w:gridCol w:w="7801"/>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7801" w:type="dxa"/>
            <w:tcBorders/>
            <w:tcMar>
              <w:top w:w="0" w:type="dxa"/>
              <w:left w:w="0" w:type="dxa"/>
              <w:bottom w:w="0" w:type="dxa"/>
              <w:right w:w="0" w:type="dxa"/>
            </w:tcMar>
            <w:vAlign w:val="center"/>
          </w:tcPr>
          <w:p>
            <w:pPr>
              <w:pStyle w:val="TableContents"/>
              <w:bidi w:val="0"/>
              <w:spacing w:before="0" w:after="283"/>
              <w:jc w:val="left"/>
              <w:rPr/>
            </w:pPr>
            <w:hyperlink w:anchor="hesm-ex99_1.htm">
              <w:r>
                <w:rPr>
                  <w:rStyle w:val="InternetLink"/>
                  <w:rFonts w:ascii="Times New Roman" w:hAnsi="Times New Roman"/>
                  <w:color w:val="0000FF"/>
                  <w:sz w:val="20"/>
                  <w:u w:val="single"/>
                </w:rPr>
                <w:t>News release dated August [3], 2026 reporting estimated results for the second quarter of 2026.</w:t>
              </w:r>
            </w:hyperlink>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7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212529"/>
                <w:sz w:val="20"/>
              </w:rPr>
            </w:pPr>
            <w:r>
              <w:rPr>
                <w:rFonts w:ascii="Times New Roman" w:hAnsi="Times New Roman"/>
                <w:color w:val="212529"/>
                <w:sz w:val="20"/>
              </w:rPr>
              <w:t>Cover Page Interactive Data File (embedded within the Inline XBRL document)</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780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bookmarkStart w:id="2" w:name="x01"/>
      <w:bookmarkEnd w:id="2"/>
      <w:r>
        <w:rPr>
          <w:rFonts w:ascii="Times New Roman" w:hAnsi="Times New Roman"/>
          <w:b/>
          <w:color w:val="000000"/>
          <w:sz w:val="20"/>
        </w:rPr>
        <w:t>SIGNATURE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Date: August 3, 2026</w:t>
      </w:r>
    </w:p>
    <w:p>
      <w:pPr>
        <w:pStyle w:val="TextBody"/>
        <w:bidi w:val="0"/>
        <w:spacing w:before="0" w:after="240"/>
        <w:jc w:val="both"/>
        <w:rPr/>
      </w:pPr>
      <w:r>
        <w:rPr/>
        <w:t> </w:t>
      </w:r>
    </w:p>
    <w:tbl>
      <w:tblPr>
        <w:tblW w:w="4470" w:type="dxa"/>
        <w:jc w:val="left"/>
        <w:tblInd w:w="0" w:type="dxa"/>
        <w:tblLayout w:type="fixed"/>
        <w:tblCellMar>
          <w:top w:w="28" w:type="dxa"/>
          <w:left w:w="28" w:type="dxa"/>
          <w:bottom w:w="28" w:type="dxa"/>
          <w:right w:w="28" w:type="dxa"/>
        </w:tblCellMar>
      </w:tblPr>
      <w:tblGrid>
        <w:gridCol w:w="715"/>
        <w:gridCol w:w="184"/>
        <w:gridCol w:w="3571"/>
      </w:tblGrid>
      <w:tr>
        <w:trPr/>
        <w:tc>
          <w:tcPr>
            <w:tcW w:w="7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LP (Registrant)</w:t>
            </w:r>
          </w:p>
        </w:tc>
      </w:tr>
      <w:tr>
        <w:trPr/>
        <w:tc>
          <w:tcPr>
            <w:tcW w:w="715" w:type="dxa"/>
            <w:tcBorders/>
            <w:tcMar>
              <w:top w:w="0" w:type="dxa"/>
              <w:left w:w="0" w:type="dxa"/>
              <w:bottom w:w="0" w:type="dxa"/>
              <w:right w:w="0" w:type="dxa"/>
            </w:tcMar>
            <w:vAlign w:val="center"/>
          </w:tcPr>
          <w:p>
            <w:pPr>
              <w:pStyle w:val="TableContents"/>
              <w:bidi w:val="0"/>
              <w:spacing w:before="0" w:after="283"/>
              <w:jc w:val="both"/>
              <w:rPr/>
            </w:pPr>
            <w:r>
              <w:rPr/>
              <w:t> </w:t>
            </w:r>
          </w:p>
        </w:tc>
        <w:tc>
          <w:tcPr>
            <w:tcW w:w="375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LP, its General Partner</w:t>
            </w:r>
          </w:p>
        </w:tc>
      </w:tr>
      <w:tr>
        <w:trPr/>
        <w:tc>
          <w:tcPr>
            <w:tcW w:w="715" w:type="dxa"/>
            <w:tcBorders/>
            <w:tcMar>
              <w:top w:w="0" w:type="dxa"/>
              <w:left w:w="0" w:type="dxa"/>
              <w:bottom w:w="0" w:type="dxa"/>
              <w:right w:w="0" w:type="dxa"/>
            </w:tcMar>
            <w:vAlign w:val="center"/>
          </w:tcPr>
          <w:p>
            <w:pPr>
              <w:pStyle w:val="TableContents"/>
              <w:bidi w:val="0"/>
              <w:spacing w:before="0" w:after="283"/>
              <w:jc w:val="both"/>
              <w:rPr/>
            </w:pPr>
            <w:r>
              <w:rPr/>
              <w:t> </w:t>
            </w:r>
          </w:p>
        </w:tc>
        <w:tc>
          <w:tcPr>
            <w:tcW w:w="375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LLC, its General Partner</w:t>
            </w:r>
          </w:p>
        </w:tc>
      </w:tr>
      <w:tr>
        <w:trPr/>
        <w:tc>
          <w:tcPr>
            <w:tcW w:w="715" w:type="dxa"/>
            <w:tcBorders/>
            <w:tcMar>
              <w:top w:w="0" w:type="dxa"/>
              <w:left w:w="0" w:type="dxa"/>
              <w:bottom w:w="0" w:type="dxa"/>
              <w:right w:w="0" w:type="dxa"/>
            </w:tcMar>
            <w:vAlign w:val="center"/>
          </w:tcPr>
          <w:p>
            <w:pPr>
              <w:pStyle w:val="TableContents"/>
              <w:bidi w:val="0"/>
              <w:spacing w:before="0" w:after="283"/>
              <w:jc w:val="both"/>
              <w:rPr/>
            </w:pPr>
            <w:r>
              <w:rPr/>
              <w:t> </w:t>
            </w:r>
          </w:p>
        </w:tc>
        <w:tc>
          <w:tcPr>
            <w:tcW w:w="375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Michael J. Chadwick</w:t>
            </w:r>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Michael J. Chadwick</w:t>
            </w:r>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before="0" w:after="1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sz w:val="20"/>
        </w:rPr>
      </w:pPr>
      <w:bookmarkStart w:id="3" w:name="hesm-ex99_1.htm"/>
      <w:bookmarkStart w:id="4" w:name="kshesmex99_1"/>
      <w:bookmarkEnd w:id="3"/>
      <w:bookmarkEnd w:id="4"/>
      <w:r>
        <w:rPr>
          <w:rFonts w:ascii="Arial" w:hAnsi="Arial"/>
          <w:sz w:val="20"/>
        </w:rPr>
        <w:t>Exhibit 99.1</w:t>
      </w:r>
      <w:r>
        <w:br w:type="page"/>
      </w:r>
    </w:p>
    <w:p>
      <w:pPr>
        <w:pStyle w:val="TextBody"/>
        <w:bidi w:val="0"/>
        <w:jc w:val="left"/>
        <w:rPr/>
      </w:pPr>
      <w:r>
        <w:rPr/>
        <w:drawing>
          <wp:inline distT="0" distB="0" distL="0" distR="0">
            <wp:extent cx="16287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476250"/>
                    </a:xfrm>
                    <a:prstGeom prst="rect">
                      <a:avLst/>
                    </a:prstGeom>
                  </pic:spPr>
                </pic:pic>
              </a:graphicData>
            </a:graphic>
          </wp:inline>
        </w:drawing>
      </w:r>
    </w:p>
    <w:p>
      <w:pPr>
        <w:pStyle w:val="TextBody"/>
        <w:bidi w:val="0"/>
        <w:jc w:val="right"/>
        <w:rPr>
          <w:rFonts w:ascii="Arial" w:hAnsi="Arial"/>
          <w:b/>
          <w:color w:val="000000"/>
          <w:sz w:val="20"/>
        </w:rPr>
      </w:pPr>
      <w:r>
        <w:rPr>
          <w:rFonts w:ascii="Arial" w:hAnsi="Arial"/>
          <w:b/>
          <w:color w:val="000000"/>
          <w:sz w:val="20"/>
        </w:rPr>
        <w:t>HESS MIDSTREAM LP</w:t>
      </w:r>
    </w:p>
    <w:p>
      <w:pPr>
        <w:pStyle w:val="TextBody"/>
        <w:bidi w:val="0"/>
        <w:spacing w:before="120" w:after="240"/>
        <w:jc w:val="left"/>
        <w:rPr/>
      </w:pPr>
      <w:r>
        <w:rPr/>
        <w:drawing>
          <wp:inline distT="0" distB="0" distL="0" distR="0">
            <wp:extent cx="187642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76425" cy="276225"/>
                    </a:xfrm>
                    <a:prstGeom prst="rect">
                      <a:avLst/>
                    </a:prstGeom>
                  </pic:spPr>
                </pic:pic>
              </a:graphicData>
            </a:graphic>
          </wp:inline>
        </w:drawing>
      </w:r>
    </w:p>
    <w:p>
      <w:pPr>
        <w:pStyle w:val="TextBody"/>
        <w:pBdr>
          <w:top w:val="single" w:sz="18" w:space="1" w:color="008000"/>
        </w:pBdr>
        <w:bidi w:val="0"/>
        <w:jc w:val="left"/>
        <w:rPr/>
      </w:pPr>
      <w:r>
        <w:rPr/>
        <w:t> </w:t>
      </w:r>
    </w:p>
    <w:p>
      <w:pPr>
        <w:pStyle w:val="TextBody"/>
        <w:bidi w:val="0"/>
        <w:jc w:val="both"/>
        <w:rPr>
          <w:rFonts w:ascii="Arial" w:hAnsi="Arial"/>
          <w:b/>
          <w:color w:val="000000"/>
          <w:sz w:val="20"/>
        </w:rPr>
      </w:pPr>
      <w:r>
        <w:rPr>
          <w:rFonts w:ascii="Arial" w:hAnsi="Arial"/>
          <w:b/>
          <w:color w:val="000000"/>
          <w:sz w:val="20"/>
        </w:rPr>
        <w:t>HESS MIDSTREAM LP REPORTS ESTIMATED RESULTS FOR THE SECOND QUARTER OF 2026</w:t>
      </w:r>
    </w:p>
    <w:p>
      <w:pPr>
        <w:pStyle w:val="Heading1"/>
        <w:bidi w:val="0"/>
        <w:spacing w:before="120" w:after="60"/>
        <w:jc w:val="both"/>
        <w:rPr>
          <w:rFonts w:ascii="Arial" w:hAnsi="Arial"/>
          <w:color w:val="000000"/>
          <w:sz w:val="20"/>
        </w:rPr>
      </w:pPr>
      <w:r>
        <w:rPr>
          <w:rFonts w:ascii="Arial" w:hAnsi="Arial"/>
          <w:color w:val="000000"/>
          <w:sz w:val="20"/>
        </w:rPr>
        <w:t>Second Quarter 2026 Highlights: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i/>
          <w:color w:val="000000"/>
          <w:sz w:val="20"/>
        </w:rPr>
      </w:pPr>
      <w:r>
        <w:rPr>
          <w:rFonts w:ascii="Arial" w:hAnsi="Arial"/>
          <w:b/>
          <w:i/>
          <w:color w:val="000000"/>
          <w:sz w:val="20"/>
        </w:rPr>
        <w:t>Net income was $173.7 million. Net cash provided by operating activities was $278.6 million.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i/>
          <w:color w:val="000000"/>
          <w:sz w:val="20"/>
        </w:rPr>
      </w:pPr>
      <w:r>
        <w:rPr>
          <w:rFonts w:ascii="Arial" w:hAnsi="Arial"/>
          <w:b/>
          <w:i/>
          <w:color w:val="000000"/>
          <w:sz w:val="20"/>
        </w:rPr>
        <w:t>Net income attributable to Hess Midstream LP was $96.4 million, or $0.75 basic earnings per Class A share, after deduction for noncontrolling interests.</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i/>
          <w:color w:val="000000"/>
          <w:sz w:val="20"/>
        </w:rPr>
        <w:t>Adjusted EBITDA</w:t>
      </w:r>
      <w:r>
        <w:rPr>
          <w:rFonts w:ascii="Arial" w:hAnsi="Arial"/>
          <w:b/>
          <w:i/>
          <w:color w:val="000000"/>
          <w:sz w:val="13"/>
        </w:rPr>
        <w:t>1</w:t>
      </w:r>
      <w:r>
        <w:rPr>
          <w:color w:val="000000"/>
        </w:rPr>
        <w:t xml:space="preserve"> </w:t>
      </w:r>
      <w:r>
        <w:rPr>
          <w:rFonts w:ascii="Arial" w:hAnsi="Arial"/>
          <w:b/>
          <w:i/>
          <w:color w:val="000000"/>
          <w:sz w:val="20"/>
        </w:rPr>
        <w:t>was $313.7 million and Adjusted Free Cash Flow</w:t>
      </w:r>
      <w:r>
        <w:rPr>
          <w:rFonts w:ascii="Arial" w:hAnsi="Arial"/>
          <w:b/>
          <w:i/>
          <w:color w:val="000000"/>
          <w:sz w:val="13"/>
        </w:rPr>
        <w:t xml:space="preserve">1 </w:t>
      </w:r>
      <w:r>
        <w:rPr>
          <w:rFonts w:ascii="Arial" w:hAnsi="Arial"/>
          <w:b/>
          <w:i/>
          <w:color w:val="000000"/>
          <w:sz w:val="20"/>
        </w:rPr>
        <w:t>was $231.6 million.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i/>
          <w:color w:val="000000"/>
          <w:sz w:val="20"/>
        </w:rPr>
      </w:pPr>
      <w:r>
        <w:rPr>
          <w:rFonts w:ascii="Arial" w:hAnsi="Arial"/>
          <w:b/>
          <w:i/>
          <w:color w:val="000000"/>
          <w:sz w:val="20"/>
        </w:rPr>
        <w:t xml:space="preserve">Increased quarterly cash distribution to $0.7888 per Class A share for the second quarter of 2026, an increase of $0.0096 per Class A share for the second quarter of 2026 compared with the first quarter of 2026. </w:t>
      </w:r>
    </w:p>
    <w:p>
      <w:pPr>
        <w:pStyle w:val="Heading1"/>
        <w:bidi w:val="0"/>
        <w:spacing w:before="0" w:after="60"/>
        <w:jc w:val="both"/>
        <w:rPr>
          <w:rFonts w:ascii="Arial" w:hAnsi="Arial"/>
          <w:color w:val="000000"/>
          <w:sz w:val="20"/>
        </w:rPr>
      </w:pPr>
      <w:r>
        <w:rPr>
          <w:rFonts w:ascii="Arial" w:hAnsi="Arial"/>
          <w:color w:val="000000"/>
          <w:sz w:val="20"/>
        </w:rPr>
        <w:t>Guidance: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b/>
          <w:i/>
          <w:color w:val="000000"/>
          <w:sz w:val="20"/>
        </w:rPr>
      </w:pPr>
      <w:r>
        <w:rPr>
          <w:rFonts w:ascii="Arial" w:hAnsi="Arial"/>
          <w:b/>
          <w:i/>
          <w:color w:val="000000"/>
          <w:sz w:val="20"/>
        </w:rPr>
        <w:t>Hess Midstream LP is reaffirming its full year 2026 financial and throughput guidance.</w:t>
      </w:r>
    </w:p>
    <w:p>
      <w:pPr>
        <w:pStyle w:val="TextBody"/>
        <w:bidi w:val="0"/>
        <w:jc w:val="left"/>
        <w:rPr/>
      </w:pPr>
      <w:r>
        <w:rPr/>
        <w:t> </w:t>
      </w:r>
    </w:p>
    <w:p>
      <w:pPr>
        <w:pStyle w:val="Heading1"/>
        <w:bidi w:val="0"/>
        <w:spacing w:before="0" w:after="120"/>
        <w:jc w:val="both"/>
        <w:rPr>
          <w:rFonts w:ascii="Times New Roman" w:hAnsi="Times New Roman"/>
          <w:sz w:val="20"/>
        </w:rPr>
      </w:pPr>
      <w:r>
        <w:rPr>
          <w:rFonts w:ascii="Arial" w:hAnsi="Arial"/>
          <w:color w:val="000000"/>
          <w:sz w:val="20"/>
        </w:rPr>
        <w:t>HOUSTON, August 3, 2026</w:t>
      </w:r>
      <w:r>
        <w:rPr>
          <w:rFonts w:ascii="Times New Roman" w:hAnsi="Times New Roman"/>
          <w:color w:val="000000"/>
          <w:sz w:val="20"/>
        </w:rPr>
        <w:t>—</w:t>
      </w:r>
      <w:r>
        <w:rPr>
          <w:rFonts w:ascii="Arial" w:hAnsi="Arial"/>
          <w:b w:val="false"/>
          <w:color w:val="000000"/>
          <w:sz w:val="20"/>
        </w:rPr>
        <w:t>Hess Midstream LP (NYSE: HESM) (“Hess Midstream” or the “Company”) today reported second quarter 2026 net income of $173.7 million compared with net income of $179.7 million for the second quarter of 2025. After deduction for noncontrolling interests, net income attributable to Hess Midstream was $96.4 million, or $0.75 basic earnings per Class A share, compared with $0.74 basic earnings per Class A share in the second quarter of 2025. Hess Midstream generated Adjusted EBITDA of $313.7 million. Net cash provided by operating activities was $278.6 million and Adjusted Free Cash Flow was $231.6 million.</w:t>
      </w:r>
    </w:p>
    <w:p>
      <w:pPr>
        <w:pStyle w:val="Heading1"/>
        <w:bidi w:val="0"/>
        <w:spacing w:before="0" w:after="120"/>
        <w:jc w:val="both"/>
        <w:rPr>
          <w:color w:val="000000"/>
        </w:rPr>
      </w:pPr>
      <w:r>
        <w:rPr>
          <w:color w:val="000000"/>
        </w:rPr>
        <w:t>“</w:t>
      </w:r>
      <w:r>
        <w:rPr>
          <w:rFonts w:ascii="Arial" w:hAnsi="Arial"/>
          <w:b w:val="false"/>
          <w:color w:val="000000"/>
          <w:sz w:val="20"/>
        </w:rPr>
        <w:t>In the second quarter of 2026, we continued to progress our operational priorities, executing a safe and efficient maintenance program while delivering on our financial strategy,” said Jonathan Stein, Chief Executive Officer of Hess Midstream. “As we enter the second half of the year, we remain focused on execution and generating Adjusted Free Cash Flow to support continued shareholder returns and balance sheet strength.”</w:t>
      </w:r>
    </w:p>
    <w:p>
      <w:pPr>
        <w:pStyle w:val="Heading1"/>
        <w:bidi w:val="0"/>
        <w:spacing w:before="0" w:after="120"/>
        <w:jc w:val="both"/>
        <w:rPr>
          <w:rFonts w:ascii="Arial" w:hAnsi="Arial"/>
          <w:b w:val="false"/>
          <w:color w:val="000000"/>
          <w:sz w:val="20"/>
        </w:rPr>
      </w:pPr>
      <w:r>
        <w:rPr>
          <w:rFonts w:ascii="Arial" w:hAnsi="Arial"/>
          <w:b w:val="false"/>
          <w:color w:val="000000"/>
          <w:sz w:val="20"/>
        </w:rPr>
        <w:t>Hess Midstream’s results contained in this release are consolidated to include the noncontrolling interests in Hess Midstream Operations LP (the “Partnership”) owned by our Sponsor. References to “Sponsor” or “Sponsors” refer to (a) Hess Corporation (“Hess”) and Global Infrastructure Partners when referring to periods prior to May 30, 2025, (b) Hess from May 30, 2025, to July 17, 2025, and (c) Chevron from July 18, 2025. We refer to certain results as “attributable to Hess Midstream LP,” which exclude the noncontrolling interests in the Partnership owned by the Sponsors.</w:t>
      </w:r>
    </w:p>
    <w:p>
      <w:pPr>
        <w:pStyle w:val="Heading1"/>
        <w:bidi w:val="0"/>
        <w:spacing w:before="0" w:after="120"/>
        <w:jc w:val="both"/>
        <w:rPr>
          <w:rFonts w:ascii="Arial" w:hAnsi="Arial"/>
          <w:b w:val="false"/>
          <w:color w:val="000000"/>
          <w:sz w:val="20"/>
        </w:rPr>
      </w:pPr>
      <w:r>
        <w:rPr>
          <w:rFonts w:ascii="Arial" w:hAnsi="Arial"/>
          <w:b w:val="false"/>
          <w:color w:val="000000"/>
          <w:sz w:val="20"/>
        </w:rPr>
        <w:t>As used in this news release,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jc w:val="both"/>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Adjusted EBITDA, Adjusted Free Cash Flow and Adjusted Free Cash Flow after Distributions are non</w:t>
        <w:noBreakHyphen/>
        <w:t>GAAP measures. Definitions and reconciliations of these non</w:t>
        <w:noBreakHyphen/>
        <w:t>GAAP measures to the most directly comparable GAAP reporting measures appear in the following pages of this release.</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0" w:after="120"/>
        <w:jc w:val="both"/>
        <w:rPr>
          <w:rFonts w:ascii="Arial" w:hAnsi="Arial"/>
          <w:color w:val="000000"/>
          <w:sz w:val="20"/>
        </w:rPr>
      </w:pPr>
      <w:r>
        <w:rPr>
          <w:rFonts w:ascii="Arial" w:hAnsi="Arial"/>
          <w:color w:val="000000"/>
          <w:sz w:val="20"/>
        </w:rPr>
        <w:t>Financial Results</w:t>
      </w:r>
    </w:p>
    <w:p>
      <w:pPr>
        <w:pStyle w:val="Heading1"/>
        <w:bidi w:val="0"/>
        <w:spacing w:before="0" w:after="120"/>
        <w:jc w:val="both"/>
        <w:rPr>
          <w:rFonts w:ascii="Arial" w:hAnsi="Arial"/>
          <w:b w:val="false"/>
          <w:color w:val="000000"/>
          <w:sz w:val="20"/>
        </w:rPr>
      </w:pPr>
      <w:r>
        <w:rPr>
          <w:rFonts w:ascii="Arial" w:hAnsi="Arial"/>
          <w:b w:val="false"/>
          <w:color w:val="000000"/>
          <w:sz w:val="20"/>
        </w:rPr>
        <w:t>Revenues and other income in the second quarter of 2026 were $399.0 million compared with $414.2 million in the prior</w:t>
        <w:noBreakHyphen/>
        <w:t>year quarter. Second quarter 2026 revenues included $29.6 million of pass-through electricity, produced water trucking and disposal costs and certain other fees compared with $28.0 million in the prior-year quarter. Second quarter 2026 revenues and other income were down $15.2 million compared with the prior-year quarter, primarily due to lower throughput volumes, partially offset by higher tariff rates and third-party services. Total operating costs and expenses in the second quarter of 2026 were $145.8 million, down from $154.0 million in the prior-year quarter, primarily due to lower employee costs and lower maintenance expense, partially offset by higher depreciation expense. Interest expense, net of interest income, in the second quarter of 2026 was $54.5 million, approximately flat compared with $55.4 million in the prior-year quarter.</w:t>
      </w:r>
    </w:p>
    <w:p>
      <w:pPr>
        <w:pStyle w:val="Heading1"/>
        <w:bidi w:val="0"/>
        <w:spacing w:before="0" w:after="120"/>
        <w:jc w:val="both"/>
        <w:rPr>
          <w:rFonts w:ascii="Arial" w:hAnsi="Arial"/>
          <w:b w:val="false"/>
          <w:color w:val="000000"/>
          <w:sz w:val="20"/>
        </w:rPr>
      </w:pPr>
      <w:r>
        <w:rPr>
          <w:rFonts w:ascii="Arial" w:hAnsi="Arial"/>
          <w:b w:val="false"/>
          <w:color w:val="000000"/>
          <w:sz w:val="20"/>
        </w:rPr>
        <w:t>Net income for the second quarter of 2026 was $173.7 million, or $0.75 basic earnings per Class A share, after deduction for noncontrolling interests, compared with $0.74 basic earnings per Class A share in the prior-year quarter. Substantially all of income tax expense was attributed to earnings of Class A shares reflective of Hess Midstream’s organizational structure. Net cash provided by operating activities for the second quarter of 2026 was $278.6 million.</w:t>
      </w:r>
    </w:p>
    <w:p>
      <w:pPr>
        <w:pStyle w:val="Heading1"/>
        <w:bidi w:val="0"/>
        <w:spacing w:before="0" w:after="120"/>
        <w:jc w:val="both"/>
        <w:rPr>
          <w:rFonts w:ascii="Times New Roman" w:hAnsi="Times New Roman"/>
          <w:sz w:val="20"/>
        </w:rPr>
      </w:pPr>
      <w:r>
        <w:rPr>
          <w:rFonts w:ascii="Arial" w:hAnsi="Arial"/>
          <w:b w:val="false"/>
          <w:color w:val="000000"/>
          <w:sz w:val="20"/>
        </w:rPr>
        <w:t>Adjusted EBITDA for the second quarter of 2026 was $313.7 million. Adjusted Free Cash Flow for the second quarter of 2026 was $231.6 million.</w:t>
      </w:r>
      <w:r>
        <w:rPr>
          <w:rFonts w:ascii="Times New Roman" w:hAnsi="Times New Roman"/>
          <w:color w:val="000000"/>
          <w:sz w:val="20"/>
        </w:rPr>
        <w:t xml:space="preserve"> </w:t>
      </w:r>
    </w:p>
    <w:p>
      <w:pPr>
        <w:pStyle w:val="Heading1"/>
        <w:bidi w:val="0"/>
        <w:spacing w:before="0" w:after="120"/>
        <w:jc w:val="both"/>
        <w:rPr>
          <w:rFonts w:ascii="Arial" w:hAnsi="Arial"/>
          <w:b w:val="false"/>
          <w:color w:val="000000"/>
          <w:sz w:val="20"/>
        </w:rPr>
      </w:pPr>
      <w:r>
        <w:rPr>
          <w:rFonts w:ascii="Arial" w:hAnsi="Arial"/>
          <w:b w:val="false"/>
          <w:color w:val="000000"/>
          <w:sz w:val="20"/>
        </w:rPr>
        <w:t>At June 30, 2026, Hess Midstream had a drawn balance of $256.0 million on its revolving credit facility.</w:t>
      </w:r>
    </w:p>
    <w:p>
      <w:pPr>
        <w:pStyle w:val="Heading1"/>
        <w:bidi w:val="0"/>
        <w:spacing w:before="0" w:after="120"/>
        <w:jc w:val="both"/>
        <w:rPr>
          <w:rFonts w:ascii="Arial" w:hAnsi="Arial"/>
          <w:color w:val="000000"/>
          <w:sz w:val="20"/>
        </w:rPr>
      </w:pPr>
      <w:r>
        <w:rPr>
          <w:rFonts w:ascii="Arial" w:hAnsi="Arial"/>
          <w:color w:val="000000"/>
          <w:sz w:val="20"/>
        </w:rPr>
        <w:t>Operational Highlights</w:t>
      </w:r>
    </w:p>
    <w:p>
      <w:pPr>
        <w:pStyle w:val="Heading1"/>
        <w:bidi w:val="0"/>
        <w:spacing w:before="0" w:after="120"/>
        <w:jc w:val="both"/>
        <w:rPr>
          <w:rFonts w:ascii="Arial" w:hAnsi="Arial"/>
          <w:b w:val="false"/>
          <w:color w:val="000000"/>
          <w:sz w:val="20"/>
        </w:rPr>
      </w:pPr>
      <w:r>
        <w:rPr>
          <w:rFonts w:ascii="Arial" w:hAnsi="Arial"/>
          <w:b w:val="false"/>
          <w:color w:val="000000"/>
          <w:sz w:val="20"/>
        </w:rPr>
        <w:t>Throughput volumes decreased 15% for oil terminaling and 12% for water gathering compared with the second quarter of 2025, primarily due to lower production as a result of lower new-well activity. Throughput volumes decreased 4% for gas processing in the second quarter of 2026 compared with the second quarter of 2025, primarily due to planned maintenance at the Tioga Gas Plant.</w:t>
      </w:r>
    </w:p>
    <w:p>
      <w:pPr>
        <w:pStyle w:val="Heading1"/>
        <w:bidi w:val="0"/>
        <w:spacing w:before="0" w:after="120"/>
        <w:jc w:val="both"/>
        <w:rPr>
          <w:rFonts w:ascii="Arial" w:hAnsi="Arial"/>
          <w:color w:val="000000"/>
          <w:sz w:val="20"/>
        </w:rPr>
      </w:pPr>
      <w:r>
        <w:rPr>
          <w:rFonts w:ascii="Arial" w:hAnsi="Arial"/>
          <w:color w:val="000000"/>
          <w:sz w:val="20"/>
        </w:rPr>
        <w:t>Capital Expenditures</w:t>
      </w:r>
    </w:p>
    <w:p>
      <w:pPr>
        <w:pStyle w:val="Heading1"/>
        <w:bidi w:val="0"/>
        <w:spacing w:before="0" w:after="120"/>
        <w:jc w:val="both"/>
        <w:rPr>
          <w:rFonts w:ascii="Arial" w:hAnsi="Arial"/>
          <w:b w:val="false"/>
          <w:color w:val="000000"/>
          <w:sz w:val="20"/>
        </w:rPr>
      </w:pPr>
      <w:r>
        <w:rPr>
          <w:rFonts w:ascii="Arial" w:hAnsi="Arial"/>
          <w:b w:val="false"/>
          <w:color w:val="000000"/>
          <w:sz w:val="20"/>
        </w:rPr>
        <w:t>Capital expenditures for the second quarter of 2026 totaled $30.6 million compared with $70.0 million in the prior</w:t>
        <w:noBreakHyphen/>
        <w:t>year quarter, a 56% decrease resulting mainly from the completion of Hess Midstream's expansion of its gas compression capacity.</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0" w:after="120"/>
        <w:jc w:val="both"/>
        <w:rPr>
          <w:rFonts w:ascii="Arial" w:hAnsi="Arial"/>
          <w:color w:val="000000"/>
          <w:sz w:val="20"/>
        </w:rPr>
      </w:pPr>
      <w:r>
        <w:rPr>
          <w:rFonts w:ascii="Arial" w:hAnsi="Arial"/>
          <w:color w:val="000000"/>
          <w:sz w:val="20"/>
        </w:rPr>
        <w:t>Quarterly Cash Distributions</w:t>
      </w:r>
    </w:p>
    <w:p>
      <w:pPr>
        <w:pStyle w:val="Heading1"/>
        <w:bidi w:val="0"/>
        <w:spacing w:before="0" w:after="120"/>
        <w:jc w:val="both"/>
        <w:rPr>
          <w:rFonts w:ascii="Times New Roman" w:hAnsi="Times New Roman"/>
          <w:sz w:val="20"/>
        </w:rPr>
      </w:pPr>
      <w:r>
        <w:rPr>
          <w:rFonts w:ascii="Arial" w:hAnsi="Arial"/>
          <w:b w:val="false"/>
          <w:color w:val="000000"/>
          <w:sz w:val="20"/>
        </w:rPr>
        <w:t>On July 27, 2026, the Board of Directors of Hess Midstream’s General Partner declared a quarterly cash distribution of $0.7888 per Class A share for the second quarter of 2026, an increase of $0.0096 per Class A share as compared with the first quarter of 2026. The distribution is expected to be paid on August 14, 2026, to shareholders of record as of the close of business on August 6, 2026.</w:t>
      </w:r>
      <w:r>
        <w:rPr>
          <w:rFonts w:ascii="Times New Roman" w:hAnsi="Times New Roman"/>
          <w:color w:val="000000"/>
          <w:sz w:val="20"/>
        </w:rPr>
        <w:t xml:space="preserve"> </w:t>
      </w:r>
    </w:p>
    <w:p>
      <w:pPr>
        <w:pStyle w:val="Heading1"/>
        <w:bidi w:val="0"/>
        <w:spacing w:before="0" w:after="120"/>
        <w:jc w:val="both"/>
        <w:rPr>
          <w:rFonts w:ascii="Arial" w:hAnsi="Arial"/>
          <w:color w:val="000000"/>
          <w:sz w:val="20"/>
        </w:rPr>
      </w:pPr>
      <w:r>
        <w:rPr>
          <w:rFonts w:ascii="Arial" w:hAnsi="Arial"/>
          <w:color w:val="000000"/>
          <w:sz w:val="20"/>
        </w:rPr>
        <w:t>Guidance</w:t>
      </w:r>
    </w:p>
    <w:p>
      <w:pPr>
        <w:pStyle w:val="Heading1"/>
        <w:bidi w:val="0"/>
        <w:spacing w:before="0" w:after="120"/>
        <w:jc w:val="both"/>
        <w:rPr>
          <w:rFonts w:ascii="Times New Roman" w:hAnsi="Times New Roman"/>
          <w:sz w:val="20"/>
        </w:rPr>
      </w:pPr>
      <w:r>
        <w:rPr>
          <w:rFonts w:ascii="Arial" w:hAnsi="Arial"/>
          <w:b w:val="false"/>
          <w:color w:val="000000"/>
          <w:sz w:val="20"/>
        </w:rPr>
        <w:t>Hess Midstream is reaffirming its full year 2026 financial and throughput guidance, as follows:</w:t>
      </w:r>
      <w:r>
        <w:rPr>
          <w:rFonts w:ascii="Times New Roman" w:hAnsi="Times New Roman"/>
          <w:color w:val="000000"/>
          <w:sz w:val="20"/>
        </w:rPr>
        <w:t xml:space="preserve"> </w:t>
      </w:r>
    </w:p>
    <w:tbl>
      <w:tblPr>
        <w:tblW w:w="3972" w:type="dxa"/>
        <w:jc w:val="left"/>
        <w:tblInd w:w="0" w:type="dxa"/>
        <w:tblLayout w:type="fixed"/>
        <w:tblCellMar>
          <w:top w:w="28" w:type="dxa"/>
          <w:left w:w="28" w:type="dxa"/>
          <w:bottom w:w="28" w:type="dxa"/>
          <w:right w:w="28" w:type="dxa"/>
        </w:tblCellMar>
      </w:tblPr>
      <w:tblGrid>
        <w:gridCol w:w="2011"/>
        <w:gridCol w:w="480"/>
        <w:gridCol w:w="332"/>
        <w:gridCol w:w="958"/>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Financials (</w:t>
            </w:r>
            <w:r>
              <w:rPr>
                <w:rFonts w:ascii="Arial" w:hAnsi="Arial"/>
                <w:b/>
                <w:i/>
                <w:color w:val="000000"/>
                <w:sz w:val="18"/>
              </w:rPr>
              <w:t>in millions</w:t>
            </w:r>
            <w:r>
              <w:rPr>
                <w:rFonts w:ascii="Arial" w:hAnsi="Arial"/>
                <w:b/>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650 - 700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1,225 - 1,275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 expenditures</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free cash flow</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910 - 960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Heading1"/>
        <w:bidi w:val="0"/>
        <w:jc w:val="both"/>
        <w:rPr/>
      </w:pPr>
      <w:r>
        <w:rPr/>
        <w:t> </w:t>
      </w:r>
    </w:p>
    <w:tbl>
      <w:tblPr>
        <w:tblW w:w="5833" w:type="dxa"/>
        <w:jc w:val="left"/>
        <w:tblInd w:w="0" w:type="dxa"/>
        <w:tblLayout w:type="fixed"/>
        <w:tblCellMar>
          <w:top w:w="28" w:type="dxa"/>
          <w:left w:w="28" w:type="dxa"/>
          <w:bottom w:w="28" w:type="dxa"/>
          <w:right w:w="28" w:type="dxa"/>
        </w:tblCellMar>
      </w:tblPr>
      <w:tblGrid>
        <w:gridCol w:w="3871"/>
        <w:gridCol w:w="146"/>
        <w:gridCol w:w="18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Ending</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2026</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Gas gathering - MMcf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450 - 460</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Crude oil gathering - MBbl of crude oil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115 - 125</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Gas processing - MMcf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435 - 445</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Crude terminals - MBbl of crude oil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125 - 135</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Water gathering - MBbl of water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125 - 135</w:t>
            </w:r>
          </w:p>
        </w:tc>
      </w:tr>
    </w:tbl>
    <w:p>
      <w:pPr>
        <w:pStyle w:val="Heading1"/>
        <w:bidi w:val="0"/>
        <w:jc w:val="both"/>
        <w:rPr/>
      </w:pPr>
      <w:r>
        <w:rPr/>
        <w:t> </w:t>
      </w:r>
    </w:p>
    <w:p>
      <w:pPr>
        <w:pStyle w:val="Heading1"/>
        <w:bidi w:val="0"/>
        <w:spacing w:before="0" w:after="120"/>
        <w:jc w:val="both"/>
        <w:rPr>
          <w:rFonts w:ascii="Arial" w:hAnsi="Arial"/>
          <w:b w:val="false"/>
          <w:color w:val="000000"/>
          <w:sz w:val="20"/>
        </w:rPr>
      </w:pPr>
      <w:r>
        <w:rPr>
          <w:rFonts w:ascii="Arial" w:hAnsi="Arial"/>
          <w:b w:val="false"/>
          <w:color w:val="000000"/>
          <w:sz w:val="20"/>
        </w:rPr>
        <w:t>Hess Midstream continues to expect to generate approximately $1 billion of Adjusted Free Cash Flow after Distributions through 2028 that is expected to be available for incremental shareholder returns and debt repayment.</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0" w:after="120"/>
        <w:jc w:val="both"/>
        <w:rPr>
          <w:rFonts w:ascii="Arial" w:hAnsi="Arial"/>
          <w:color w:val="000000"/>
          <w:sz w:val="20"/>
        </w:rPr>
      </w:pPr>
      <w:r>
        <w:rPr>
          <w:rFonts w:ascii="Arial" w:hAnsi="Arial"/>
          <w:color w:val="000000"/>
          <w:sz w:val="20"/>
        </w:rPr>
        <w:t>Investor Webcast</w:t>
      </w:r>
    </w:p>
    <w:p>
      <w:pPr>
        <w:pStyle w:val="Heading1"/>
        <w:bidi w:val="0"/>
        <w:spacing w:before="0" w:after="120"/>
        <w:jc w:val="both"/>
        <w:rPr>
          <w:rFonts w:ascii="Arial" w:hAnsi="Arial"/>
          <w:b w:val="false"/>
          <w:color w:val="000000"/>
          <w:sz w:val="20"/>
        </w:rPr>
      </w:pPr>
      <w:r>
        <w:rPr>
          <w:rFonts w:ascii="Arial" w:hAnsi="Arial"/>
          <w:b w:val="false"/>
          <w:color w:val="000000"/>
          <w:sz w:val="20"/>
        </w:rPr>
        <w:t>Hess Midstream will review second quarter financial and operating results and other matters on a webcast today at 10:00 a.m. Eastern Time. For details about the event, refer to www.hessmidstream.com.</w:t>
      </w:r>
    </w:p>
    <w:p>
      <w:pPr>
        <w:pStyle w:val="Heading1"/>
        <w:bidi w:val="0"/>
        <w:spacing w:before="0" w:after="120"/>
        <w:jc w:val="both"/>
        <w:rPr>
          <w:rFonts w:ascii="Arial" w:hAnsi="Arial"/>
          <w:color w:val="000000"/>
          <w:sz w:val="20"/>
        </w:rPr>
      </w:pPr>
      <w:r>
        <w:rPr>
          <w:rFonts w:ascii="Arial" w:hAnsi="Arial"/>
          <w:color w:val="000000"/>
          <w:sz w:val="20"/>
        </w:rPr>
        <w:t>About Hess Midstream</w:t>
      </w:r>
    </w:p>
    <w:p>
      <w:pPr>
        <w:pStyle w:val="Heading1"/>
        <w:bidi w:val="0"/>
        <w:spacing w:before="0" w:after="120"/>
        <w:jc w:val="both"/>
        <w:rPr>
          <w:rFonts w:ascii="Times New Roman" w:hAnsi="Times New Roman"/>
          <w:sz w:val="20"/>
        </w:rPr>
      </w:pPr>
      <w:r>
        <w:rPr>
          <w:rFonts w:ascii="Arial" w:hAnsi="Arial"/>
          <w:b w:val="false"/>
          <w:color w:val="000000"/>
          <w:sz w:val="20"/>
        </w:rPr>
        <w:t>Hess Midstream LP is a fee</w:t>
        <w:noBreakHyphen/>
        <w:t>based, growth-oriented midstream company that owns, operates, develops and acquires a diverse set of midstream assets to provide services to Chevron, its subsidiaries, and third</w:t>
        <w:noBreakHyphen/>
        <w:t xml:space="preserve">party customers. Hess Midstream owns oil, gas and produced water handling assets that are primarily located in the Bakken and Three Forks Shale plays in the Williston Basin area of North Dakota. More information is available at </w:t>
      </w:r>
      <w:r>
        <w:rPr>
          <w:rFonts w:ascii="Arial" w:hAnsi="Arial"/>
          <w:sz w:val="20"/>
        </w:rPr>
        <w:t>www.hessmidstream.com</w:t>
      </w:r>
      <w:r>
        <w:rPr>
          <w:rFonts w:ascii="Arial" w:hAnsi="Arial"/>
          <w:b w:val="false"/>
          <w:color w:val="000000"/>
          <w:sz w:val="20"/>
        </w:rPr>
        <w:t>.</w:t>
      </w:r>
    </w:p>
    <w:p>
      <w:pPr>
        <w:pStyle w:val="Heading1"/>
        <w:bidi w:val="0"/>
        <w:spacing w:before="0" w:after="120"/>
        <w:jc w:val="both"/>
        <w:rPr>
          <w:rFonts w:ascii="Arial" w:hAnsi="Arial"/>
          <w:color w:val="000000"/>
          <w:sz w:val="20"/>
        </w:rPr>
      </w:pPr>
      <w:r>
        <w:rPr>
          <w:rFonts w:ascii="Arial" w:hAnsi="Arial"/>
          <w:color w:val="000000"/>
          <w:sz w:val="20"/>
        </w:rPr>
        <w:t>Non</w:t>
        <w:noBreakHyphen/>
        <w:t>GAAP Measures</w:t>
      </w:r>
    </w:p>
    <w:p>
      <w:pPr>
        <w:pStyle w:val="Heading1"/>
        <w:bidi w:val="0"/>
        <w:spacing w:before="0" w:after="120"/>
        <w:jc w:val="both"/>
        <w:rPr>
          <w:rFonts w:ascii="Times New Roman" w:hAnsi="Times New Roman"/>
          <w:sz w:val="20"/>
        </w:rPr>
      </w:pPr>
      <w:r>
        <w:rPr>
          <w:rFonts w:ascii="Arial" w:hAnsi="Arial"/>
          <w:b w:val="false"/>
          <w:color w:val="000000"/>
          <w:sz w:val="20"/>
        </w:rPr>
        <w:t>In addition to our financial information presented in accordance with U.S. generally accepted accounting principles (“GAAP”), management utilizes certain additional non</w:t>
        <w:noBreakHyphen/>
        <w:t>GAAP measures to facilitate comparisons of past performance and future periods. We define “Adjusted EBITDA” as reported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w:t>
        <w:noBreakHyphen/>
        <w:t>cash and non</w:t>
        <w:noBreakHyphen/>
        <w:t>recurring items, if applicable. We define “Adjusted Free Cash Flow” as Adjusted EBITDA less net interest, excluding amortization of deferred financing costs, cash paid for federal and state income taxes, capital expenditures and ongoing contributions to equity investments. We define “Adjusted Free Cash Flow after Distributions” as Adjusted Free Cash Flow less cash distributions to shareholders and to noncontrolling interest. We define “Gross Adjusted EBITDA Margin” as the ratio of Adjusted EBITDA to total revenues, less pass-through revenues. We believe that investors’ understanding of our performance is enhanced by disclosing these measures as they may assist in assessing our operating performance as compared to other publicly traded companies in the midstream energy industry, without regard to historical cost basis or, in the case of Adjusted EBITDA, financing methods, and assessing the ability of our assets to generate sufficient cash flow to make distributions to our shareholders. These measures are not, and should not be viewed as, a substitute for GAAP net income or cash flow from operating activities and should not be considered in isolation. Reconciliations of Adjusted EBITDA, Adjusted Free Cash Flow and Gross Adjusted EBITDA Margin to reported net income (GAAP), net cash provided by operating activities (GAAP) and gross margin (GAAP), respectively, are provided below. Hess Midstream is unable to project net cash provided by operating activities with a reasonable degree of accuracy because this metric includes the impact of changes in operating assets and liabilities related to the timing of cash receipts and disbursements that may not relate to the period in which the operating activities occur. Therefore, Hess Midstream is unable to provide projected net cash provided by operating activities, or the related reconciliation of projected Adjusted Free Cash Flow to projected net cash provided by operating activities without unreasonable effort.</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669" w:type="dxa"/>
        <w:jc w:val="left"/>
        <w:tblInd w:w="0" w:type="dxa"/>
        <w:tblLayout w:type="fixed"/>
        <w:tblCellMar>
          <w:top w:w="28" w:type="dxa"/>
          <w:left w:w="28" w:type="dxa"/>
          <w:bottom w:w="28" w:type="dxa"/>
          <w:right w:w="28" w:type="dxa"/>
        </w:tblCellMar>
      </w:tblPr>
      <w:tblGrid>
        <w:gridCol w:w="4336"/>
        <w:gridCol w:w="146"/>
        <w:gridCol w:w="211"/>
        <w:gridCol w:w="571"/>
        <w:gridCol w:w="166"/>
        <w:gridCol w:w="146"/>
        <w:gridCol w:w="211"/>
        <w:gridCol w:w="571"/>
        <w:gridCol w:w="3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Adjusted EBITDA 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Adjusted EBITDA</w:t>
              <w:br/>
              <w:t xml:space="preserve">   and Adjusted Free Cash Flow to net cash </w:t>
              <w:br/>
              <w:t>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Distribution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Interest, net</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both"/>
        <w:rPr/>
      </w:pPr>
      <w:r>
        <w:rPr/>
        <w:t> </w:t>
      </w:r>
    </w:p>
    <w:p>
      <w:pPr>
        <w:pStyle w:val="Heading1"/>
        <w:bidi w:val="0"/>
        <w:jc w:val="both"/>
        <w:rPr>
          <w:rFonts w:ascii="Arial" w:hAnsi="Arial"/>
          <w:b w:val="false"/>
          <w:color w:val="000000"/>
          <w:sz w:val="16"/>
        </w:rPr>
      </w:pPr>
      <w:r>
        <w:rPr>
          <w:rFonts w:ascii="Arial" w:hAnsi="Arial"/>
          <w:b w:val="false"/>
          <w:color w:val="000000"/>
          <w:sz w:val="16"/>
        </w:rPr>
        <w:t>(1) Excludes amortization of deferred financing costs.</w:t>
      </w:r>
    </w:p>
    <w:p>
      <w:pPr>
        <w:pStyle w:val="Heading1"/>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jc w:val="both"/>
        <w:rPr/>
      </w:pPr>
      <w:r>
        <w:rPr/>
        <w:t> </w:t>
      </w:r>
    </w:p>
    <w:tbl>
      <w:tblPr>
        <w:tblW w:w="8320" w:type="dxa"/>
        <w:jc w:val="left"/>
        <w:tblInd w:w="0" w:type="dxa"/>
        <w:tblLayout w:type="fixed"/>
        <w:tblCellMar>
          <w:top w:w="28" w:type="dxa"/>
          <w:left w:w="28" w:type="dxa"/>
          <w:bottom w:w="28" w:type="dxa"/>
          <w:right w:w="28" w:type="dxa"/>
        </w:tblCellMar>
      </w:tblPr>
      <w:tblGrid>
        <w:gridCol w:w="5731"/>
        <w:gridCol w:w="211"/>
        <w:gridCol w:w="146"/>
        <w:gridCol w:w="571"/>
        <w:gridCol w:w="271"/>
        <w:gridCol w:w="146"/>
        <w:gridCol w:w="211"/>
        <w:gridCol w:w="146"/>
        <w:gridCol w:w="571"/>
        <w:gridCol w:w="316"/>
      </w:tblGrid>
      <w:tr>
        <w:trPr/>
        <w:tc>
          <w:tcPr>
            <w:tcW w:w="5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i/>
                <w:color w:val="000000"/>
                <w:sz w:val="18"/>
              </w:rPr>
              <w:t>(in millions, except ratios)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Gross Adjusted EBITDA Margin to gross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from equity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pass-through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 excluding pass-through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Adjusted EBITDA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Heading1"/>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671" w:type="dxa"/>
        <w:jc w:val="left"/>
        <w:tblInd w:w="0" w:type="dxa"/>
        <w:tblLayout w:type="fixed"/>
        <w:tblCellMar>
          <w:top w:w="28" w:type="dxa"/>
          <w:left w:w="28" w:type="dxa"/>
          <w:bottom w:w="28" w:type="dxa"/>
          <w:right w:w="28" w:type="dxa"/>
        </w:tblCellMar>
      </w:tblPr>
      <w:tblGrid>
        <w:gridCol w:w="5611"/>
        <w:gridCol w:w="478"/>
        <w:gridCol w:w="330"/>
        <w:gridCol w:w="961"/>
        <w:gridCol w:w="291"/>
      </w:tblGrid>
      <w:tr>
        <w:trPr/>
        <w:tc>
          <w:tcPr>
            <w:tcW w:w="56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Guidance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i/>
                <w:color w:val="000000"/>
                <w:sz w:val="18"/>
              </w:rPr>
              <w:t>(in millions)</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Adjusted EBITDA and Adjusted Free Cash Flow</w:t>
              <w:br/>
              <w:t>   to net income:</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650 - 700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Plus:</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expense</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net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tax expense</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1,225 - 1,275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net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Capital expenditures</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free cash flow</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910 - 960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Distributions</w:t>
            </w:r>
            <w:r>
              <w:rPr>
                <w:rFonts w:ascii="Arial" w:hAnsi="Arial"/>
                <w:color w:val="000000"/>
                <w:sz w:val="12"/>
              </w:rPr>
              <w:t>(1)</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Adjusted free cash flow after distributions</w:t>
            </w:r>
            <w:r>
              <w:rPr>
                <w:rFonts w:ascii="Arial" w:hAnsi="Arial"/>
                <w:color w:val="000000"/>
                <w:sz w:val="12"/>
              </w:rPr>
              <w:t>(2)</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Heading1"/>
        <w:bidi w:val="0"/>
        <w:jc w:val="left"/>
        <w:rPr>
          <w:rFonts w:ascii="Arial" w:hAnsi="Arial"/>
          <w:b w:val="false"/>
          <w:color w:val="000000"/>
          <w:sz w:val="16"/>
        </w:rPr>
      </w:pPr>
      <w:r>
        <w:rPr>
          <w:rFonts w:ascii="Arial" w:hAnsi="Arial"/>
          <w:b w:val="false"/>
          <w:color w:val="000000"/>
          <w:sz w:val="16"/>
        </w:rPr>
        <w:t>(1) Reflects targeted distributions</w:t>
      </w:r>
    </w:p>
    <w:p>
      <w:pPr>
        <w:pStyle w:val="TextBody"/>
        <w:bidi w:val="0"/>
        <w:jc w:val="left"/>
        <w:rPr>
          <w:rFonts w:ascii="Arial" w:hAnsi="Arial"/>
          <w:color w:val="000000"/>
          <w:sz w:val="16"/>
        </w:rPr>
      </w:pPr>
      <w:r>
        <w:rPr>
          <w:rFonts w:ascii="Arial" w:hAnsi="Arial"/>
          <w:color w:val="000000"/>
          <w:sz w:val="16"/>
        </w:rPr>
        <w:t>(2) Adjusted Free Cash Flow of approximately $935 million, at guidance midpoint, after funding targeted distributions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Cautionary Note Regarding Forward-looking Information</w:t>
      </w:r>
    </w:p>
    <w:p>
      <w:pPr>
        <w:pStyle w:val="Heading1"/>
        <w:bidi w:val="0"/>
        <w:spacing w:before="120" w:after="120"/>
        <w:jc w:val="both"/>
        <w:rPr>
          <w:rFonts w:ascii="Arial" w:hAnsi="Arial"/>
          <w:b w:val="false"/>
          <w:color w:val="000000"/>
          <w:sz w:val="20"/>
        </w:rPr>
      </w:pPr>
      <w:r>
        <w:rPr>
          <w:rFonts w:ascii="Arial" w:hAnsi="Arial"/>
          <w:b w:val="false"/>
          <w:color w:val="000000"/>
          <w:sz w:val="20"/>
        </w:rPr>
        <w:t>This press release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w:t>
      </w:r>
    </w:p>
    <w:p>
      <w:pPr>
        <w:pStyle w:val="Heading1"/>
        <w:bidi w:val="0"/>
        <w:spacing w:before="0" w:after="120"/>
        <w:jc w:val="both"/>
        <w:rPr>
          <w:rFonts w:ascii="Times New Roman" w:hAnsi="Times New Roman"/>
          <w:sz w:val="20"/>
        </w:rPr>
      </w:pPr>
      <w:r>
        <w:rPr>
          <w:rFonts w:ascii="Arial" w:hAnsi="Arial"/>
          <w:b w:val="false"/>
          <w:color w:val="000000"/>
          <w:sz w:val="20"/>
        </w:rPr>
        <w:t>Forward-looking statements relating to the Company’s operations, assets, and strategy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Among the important factors that could cause actual results to differ materially from those in our forward-looking statements are: 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 our ability to generate sufficient cash flow to pay current and expected levels of distributions; reductions in the volumes of crude oil, natural gas, natural gas liquids (“NGLs”) and produced water we gather, process, terminal or store; the actual volumes we gather, process, terminal or store for Chevron in excess of our MVCs and relative to Chevron's nominations; fluctuations in the prices and demand for crude oil, natural gas and NGLs; changes in global economic conditions and the effects of a global economic downturn or inflation on our business and the businesses of our suppliers, customers, business partners and lenders; our ability to comply with government regulations or make capital expenditures required to maintain compliance, including our ability to obtain or maintain permits necessary for capital projects in a timely manner, if at all, or the revocation or modification of existing permits; our ability to successfully identify, evaluate and timely execute our capital projects, investment opportunities and growth strategies, whether through organic growth or acquisitions; 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 our ability to comply with the terms of our credit facility, indebtedness and other financing arrangements, which, if accelerated, we may not be able to repay; reduced demand for our midstream services, including the impact of weather or the availability of competing third-party midstream gathering, processing and transportation operations; potential disruption or interruption of our business due to natural and human causes beyond our control, such as accidents, severe weather events, labor disputes, political crises, information technology failures, constraints or disruptions and cyber-attacks; any limitations on our ability to access debt or capital markets on terms that we deem acceptable, including as a result of changes in credit ratings, weakness in the oil and gas industry or negative outcomes within commodity and financial markets; liability resulting from litigation; risks and uncertainties associated with Hess’ integration with Chevron; and other factors described in Item 1A—Risk Factors in our Annual Report on Form 10-K and any additional risks described in our other filings with the Securities and Exchange Commission.</w:t>
      </w:r>
      <w:r>
        <w:rPr>
          <w:rFonts w:ascii="Times New Roman" w:hAnsi="Times New Roman"/>
          <w:color w:val="000000"/>
          <w:sz w:val="20"/>
        </w:rPr>
        <w:t xml:space="preserve"> </w:t>
      </w:r>
    </w:p>
    <w:p>
      <w:pPr>
        <w:pStyle w:val="Heading1"/>
        <w:bidi w:val="0"/>
        <w:spacing w:before="0" w:after="120"/>
        <w:jc w:val="both"/>
        <w:rPr>
          <w:rFonts w:ascii="Times New Roman" w:hAnsi="Times New Roman"/>
          <w:sz w:val="20"/>
        </w:rPr>
      </w:pPr>
      <w:r>
        <w:rPr>
          <w:rFonts w:ascii="Arial" w:hAnsi="Arial"/>
          <w:b w:val="false"/>
          <w:color w:val="000000"/>
          <w:sz w:val="20"/>
        </w:rPr>
        <w:t>Other unpredictable or unknown factors not discussed in this press release could also cause actual results to differ materially from those in our forward-looking statements. Caution should be taken not to place undue reliance on any such forward-looking statements since such statements speak only as of the date of this press release. Except as required by law, we undertake no obligation to publicly update or revise any forward-looking statements, whether because of new information, future events or otherwise.</w:t>
      </w:r>
      <w:r>
        <w:rPr>
          <w:rFonts w:ascii="Times New Roman" w:hAnsi="Times New Roman"/>
          <w:color w:val="000000"/>
          <w:sz w:val="20"/>
        </w:rPr>
        <w:t xml:space="preserve"> </w:t>
      </w:r>
    </w:p>
    <w:p>
      <w:pPr>
        <w:pStyle w:val="Heading1"/>
        <w:bidi w:val="0"/>
        <w:spacing w:before="0" w:after="120"/>
        <w:jc w:val="both"/>
        <w:rPr>
          <w:rFonts w:ascii="Arial" w:hAnsi="Arial"/>
          <w:color w:val="000000"/>
          <w:sz w:val="20"/>
        </w:rPr>
      </w:pPr>
      <w:r>
        <w:rPr>
          <w:rFonts w:ascii="Arial" w:hAnsi="Arial"/>
          <w:color w:val="000000"/>
          <w:sz w:val="20"/>
        </w:rPr>
        <w:t>For Hess Midstream LP</w:t>
      </w:r>
    </w:p>
    <w:p>
      <w:pPr>
        <w:pStyle w:val="TextBody"/>
        <w:bidi w:val="0"/>
        <w:spacing w:before="0" w:after="120"/>
        <w:jc w:val="both"/>
        <w:rPr>
          <w:rFonts w:ascii="Arial" w:hAnsi="Arial"/>
          <w:b/>
          <w:color w:val="000000"/>
          <w:sz w:val="20"/>
        </w:rPr>
      </w:pPr>
      <w:r>
        <w:rPr>
          <w:rFonts w:ascii="Arial" w:hAnsi="Arial"/>
          <w:b/>
          <w:color w:val="000000"/>
          <w:sz w:val="20"/>
        </w:rPr>
        <w:t>Investor Contact:</w:t>
      </w:r>
    </w:p>
    <w:p>
      <w:pPr>
        <w:pStyle w:val="TextBody"/>
        <w:bidi w:val="0"/>
        <w:jc w:val="both"/>
        <w:rPr>
          <w:rFonts w:ascii="Arial" w:hAnsi="Arial"/>
          <w:color w:val="000000"/>
          <w:sz w:val="20"/>
        </w:rPr>
      </w:pPr>
      <w:r>
        <w:rPr>
          <w:rFonts w:ascii="Arial" w:hAnsi="Arial"/>
          <w:color w:val="000000"/>
          <w:sz w:val="20"/>
        </w:rPr>
        <w:t>Jennifer Gordon</w:t>
      </w:r>
    </w:p>
    <w:p>
      <w:pPr>
        <w:pStyle w:val="TextBody"/>
        <w:bidi w:val="0"/>
        <w:spacing w:before="0" w:after="120"/>
        <w:jc w:val="both"/>
        <w:rPr>
          <w:rFonts w:ascii="Arial" w:hAnsi="Arial"/>
          <w:color w:val="000000"/>
          <w:sz w:val="20"/>
        </w:rPr>
      </w:pPr>
      <w:r>
        <w:rPr>
          <w:rFonts w:ascii="Arial" w:hAnsi="Arial"/>
          <w:color w:val="000000"/>
          <w:sz w:val="20"/>
        </w:rPr>
        <w:t>(212) 536-8244</w:t>
      </w:r>
    </w:p>
    <w:p>
      <w:pPr>
        <w:pStyle w:val="TextBody"/>
        <w:bidi w:val="0"/>
        <w:spacing w:before="0" w:after="120"/>
        <w:jc w:val="both"/>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HESS MIDSTREAM LP</w:t>
      </w:r>
    </w:p>
    <w:p>
      <w:pPr>
        <w:pStyle w:val="TextBody"/>
        <w:bidi w:val="0"/>
        <w:jc w:val="center"/>
        <w:rPr>
          <w:rFonts w:ascii="Arial" w:hAnsi="Arial"/>
          <w:b/>
          <w:color w:val="000000"/>
          <w:sz w:val="20"/>
        </w:rPr>
      </w:pPr>
      <w:r>
        <w:rPr>
          <w:rFonts w:ascii="Arial" w:hAnsi="Arial"/>
          <w:b/>
          <w:color w:val="000000"/>
          <w:sz w:val="20"/>
        </w:rPr>
        <w:t>SUPPLEMENTAL FINANCIAL DATA (UNAUDITED)</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pPr>
      <w:r>
        <w:rPr/>
        <w:t> </w:t>
      </w:r>
    </w:p>
    <w:tbl>
      <w:tblPr>
        <w:tblW w:w="8048" w:type="dxa"/>
        <w:jc w:val="left"/>
        <w:tblInd w:w="0" w:type="dxa"/>
        <w:tblLayout w:type="fixed"/>
        <w:tblCellMar>
          <w:top w:w="28" w:type="dxa"/>
          <w:left w:w="28" w:type="dxa"/>
          <w:bottom w:w="28" w:type="dxa"/>
          <w:right w:w="28" w:type="dxa"/>
        </w:tblCellMar>
      </w:tblPr>
      <w:tblGrid>
        <w:gridCol w:w="4581"/>
        <w:gridCol w:w="146"/>
        <w:gridCol w:w="211"/>
        <w:gridCol w:w="571"/>
        <w:gridCol w:w="146"/>
        <w:gridCol w:w="146"/>
        <w:gridCol w:w="211"/>
        <w:gridCol w:w="571"/>
        <w:gridCol w:w="146"/>
        <w:gridCol w:w="146"/>
        <w:gridCol w:w="211"/>
        <w:gridCol w:w="571"/>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Operating and maintenance expenses </w:t>
              <w:br/>
              <w:t>  (exclusive of depreciation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Less: Net income attributable to noncontrolling </w:t>
              <w:br/>
              <w: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Net income attributable to Hess Midstream LP </w:t>
              <w:br/>
              <w:t>   per Class 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Class A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HESS MIDSTREAM LP</w:t>
      </w:r>
    </w:p>
    <w:p>
      <w:pPr>
        <w:pStyle w:val="TextBody"/>
        <w:bidi w:val="0"/>
        <w:jc w:val="center"/>
        <w:rPr>
          <w:rFonts w:ascii="Arial" w:hAnsi="Arial"/>
          <w:b/>
          <w:color w:val="000000"/>
          <w:sz w:val="20"/>
        </w:rPr>
      </w:pPr>
      <w:r>
        <w:rPr>
          <w:rFonts w:ascii="Arial" w:hAnsi="Arial"/>
          <w:b/>
          <w:color w:val="000000"/>
          <w:sz w:val="20"/>
        </w:rPr>
        <w:t>SUPPLEMENTAL FINANCIAL DATA (UNAUDITED)</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pPr>
      <w:r>
        <w:rPr/>
        <w:t> </w:t>
      </w:r>
    </w:p>
    <w:tbl>
      <w:tblPr>
        <w:tblW w:w="7679" w:type="dxa"/>
        <w:jc w:val="left"/>
        <w:tblInd w:w="0" w:type="dxa"/>
        <w:tblLayout w:type="fixed"/>
        <w:tblCellMar>
          <w:top w:w="28" w:type="dxa"/>
          <w:left w:w="28" w:type="dxa"/>
          <w:bottom w:w="28" w:type="dxa"/>
          <w:right w:w="28" w:type="dxa"/>
        </w:tblCellMar>
      </w:tblPr>
      <w:tblGrid>
        <w:gridCol w:w="4746"/>
        <w:gridCol w:w="146"/>
        <w:gridCol w:w="272"/>
        <w:gridCol w:w="738"/>
        <w:gridCol w:w="188"/>
        <w:gridCol w:w="188"/>
        <w:gridCol w:w="272"/>
        <w:gridCol w:w="738"/>
        <w:gridCol w:w="3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Operating and maintenance expenses </w:t>
              <w:br/>
              <w:t>  (exclusive of depreciation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184.0</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Net income attributable to Hess Midstream LP </w:t>
              <w:br/>
              <w:t>   per Class 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Class A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5"/>
        <w:gridCol w:w="146"/>
        <w:gridCol w:w="255"/>
        <w:gridCol w:w="691"/>
        <w:gridCol w:w="146"/>
        <w:gridCol w:w="146"/>
        <w:gridCol w:w="298"/>
        <w:gridCol w:w="811"/>
        <w:gridCol w:w="146"/>
        <w:gridCol w:w="146"/>
        <w:gridCol w:w="346"/>
        <w:gridCol w:w="765"/>
        <w:gridCol w:w="146"/>
        <w:gridCol w:w="146"/>
        <w:gridCol w:w="252"/>
        <w:gridCol w:w="632"/>
        <w:gridCol w:w="166"/>
        <w:gridCol w:w="146"/>
        <w:gridCol w:w="211"/>
        <w:gridCol w:w="571"/>
        <w:gridCol w:w="494"/>
      </w:tblGrid>
      <w:tr>
        <w:trPr/>
        <w:tc>
          <w:tcPr>
            <w:tcW w:w="3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 2026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Processing </w:t>
              <w:br/>
              <w:t>and</w:t>
              <w:br/>
              <w:t>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Terminaling</w:t>
              <w:br/>
              <w:t>and</w:t>
              <w:br/>
              <w:t>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Interest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and maintenance expenses (exclusive of</w:t>
              <w:br/>
              <w:t>   depreciation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145.8</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Less: Net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96.4</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7"/>
        <w:gridCol w:w="146"/>
        <w:gridCol w:w="255"/>
        <w:gridCol w:w="691"/>
        <w:gridCol w:w="146"/>
        <w:gridCol w:w="146"/>
        <w:gridCol w:w="291"/>
        <w:gridCol w:w="790"/>
        <w:gridCol w:w="146"/>
        <w:gridCol w:w="146"/>
        <w:gridCol w:w="355"/>
        <w:gridCol w:w="784"/>
        <w:gridCol w:w="146"/>
        <w:gridCol w:w="146"/>
        <w:gridCol w:w="252"/>
        <w:gridCol w:w="631"/>
        <w:gridCol w:w="166"/>
        <w:gridCol w:w="146"/>
        <w:gridCol w:w="211"/>
        <w:gridCol w:w="571"/>
        <w:gridCol w:w="493"/>
      </w:tblGrid>
      <w:tr>
        <w:trPr/>
        <w:tc>
          <w:tcPr>
            <w:tcW w:w="3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 2025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Processing</w:t>
              <w:br/>
              <w:t>and</w:t>
              <w:br/>
              <w:t>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Terminaling </w:t>
              <w:br/>
              <w:t xml:space="preserve">and </w:t>
              <w:br/>
              <w:t>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Interest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Operating and maintenance expenses (exclusive of </w:t>
              <w:br/>
              <w:t>  depreciation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260.2</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Less: Net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90.3</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HESS MIDSTREAM LP</w:t>
      </w:r>
    </w:p>
    <w:p>
      <w:pPr>
        <w:pStyle w:val="TextBody"/>
        <w:bidi w:val="0"/>
        <w:jc w:val="center"/>
        <w:rPr>
          <w:rFonts w:ascii="Arial" w:hAnsi="Arial"/>
          <w:b/>
          <w:color w:val="000000"/>
          <w:sz w:val="20"/>
        </w:rPr>
      </w:pPr>
      <w:r>
        <w:rPr>
          <w:rFonts w:ascii="Arial" w:hAnsi="Arial"/>
          <w:b/>
          <w:color w:val="000000"/>
          <w:sz w:val="20"/>
        </w:rPr>
        <w:t>SUPPLEMENTAL FINANCIAL DATA (UNAUDITED)</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255"/>
        <w:gridCol w:w="691"/>
        <w:gridCol w:w="146"/>
        <w:gridCol w:w="146"/>
        <w:gridCol w:w="298"/>
        <w:gridCol w:w="810"/>
        <w:gridCol w:w="146"/>
        <w:gridCol w:w="146"/>
        <w:gridCol w:w="355"/>
        <w:gridCol w:w="784"/>
        <w:gridCol w:w="146"/>
        <w:gridCol w:w="146"/>
        <w:gridCol w:w="252"/>
        <w:gridCol w:w="629"/>
        <w:gridCol w:w="166"/>
        <w:gridCol w:w="146"/>
        <w:gridCol w:w="211"/>
        <w:gridCol w:w="571"/>
        <w:gridCol w:w="494"/>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4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 2026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Processing </w:t>
              <w:br/>
              <w:t>and</w:t>
              <w:br/>
              <w:t>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Terminaling </w:t>
              <w:br/>
              <w:t xml:space="preserve">and </w:t>
              <w:br/>
              <w:t>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Interest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Operating and maintenance expenses (exclusive of </w:t>
              <w:br/>
              <w:t>  depreciation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185.9</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Less: Net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HESS MIDSTREAM LP</w:t>
      </w:r>
    </w:p>
    <w:p>
      <w:pPr>
        <w:pStyle w:val="TextBody"/>
        <w:bidi w:val="0"/>
        <w:jc w:val="center"/>
        <w:rPr>
          <w:rFonts w:ascii="Arial" w:hAnsi="Arial"/>
          <w:b/>
          <w:color w:val="000000"/>
          <w:sz w:val="20"/>
        </w:rPr>
      </w:pPr>
      <w:r>
        <w:rPr>
          <w:rFonts w:ascii="Arial" w:hAnsi="Arial"/>
          <w:b/>
          <w:color w:val="000000"/>
          <w:sz w:val="20"/>
        </w:rPr>
        <w:t>SUPPLEMENTAL OPERATING DATA (UNAUDITED)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7840" w:type="dxa"/>
        <w:jc w:val="left"/>
        <w:tblInd w:w="0" w:type="dxa"/>
        <w:tblLayout w:type="fixed"/>
        <w:tblCellMar>
          <w:top w:w="28" w:type="dxa"/>
          <w:left w:w="28" w:type="dxa"/>
          <w:bottom w:w="28" w:type="dxa"/>
          <w:right w:w="28" w:type="dxa"/>
        </w:tblCellMar>
      </w:tblPr>
      <w:tblGrid>
        <w:gridCol w:w="3846"/>
        <w:gridCol w:w="146"/>
        <w:gridCol w:w="196"/>
        <w:gridCol w:w="570"/>
        <w:gridCol w:w="146"/>
        <w:gridCol w:w="146"/>
        <w:gridCol w:w="258"/>
        <w:gridCol w:w="750"/>
        <w:gridCol w:w="192"/>
        <w:gridCol w:w="192"/>
        <w:gridCol w:w="259"/>
        <w:gridCol w:w="748"/>
        <w:gridCol w:w="39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Gas gathering - 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Crude oil gathering - bopd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Gas processing - 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Crude terminals - bopd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NGL loading - blpd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Water gathering - blpd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Gas gathering - 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Crude oil gathering - bopd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Gas processing - Mcf of natural gas per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Crude terminals - bopd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NGL loading - blpd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Water gathering - blpd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4028</Words>
  <Characters>21691</Characters>
  <CharactersWithSpaces>26732</CharactersWithSpaces>
  <Paragraphs>2796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