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esm-20260630.htm"/>
      <w:bookmarkStart w:id="1" w:name="kshesm20260630"/>
      <w:bookmarkEnd w:id="0"/>
      <w:bookmarkEnd w:id="1"/>
      <w:r>
        <w:rPr/>
        <w:t> </w:t>
      </w:r>
    </w:p>
    <w:p>
      <w:pPr>
        <w:pStyle w:val="TextBody"/>
        <w:pBdr>
          <w:bottom w:val="double" w:sz="4" w:space="1" w:color="000000"/>
        </w:pBdr>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center"/>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center"/>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001-39163</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Hess Midstream LP</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tbl>
      <w:tblPr>
        <w:tblW w:w="7247" w:type="dxa"/>
        <w:jc w:val="left"/>
        <w:tblInd w:w="0" w:type="dxa"/>
        <w:tblLayout w:type="fixed"/>
        <w:tblCellMar>
          <w:top w:w="28" w:type="dxa"/>
          <w:left w:w="28" w:type="dxa"/>
          <w:bottom w:w="28" w:type="dxa"/>
          <w:right w:w="28" w:type="dxa"/>
        </w:tblCellMar>
      </w:tblPr>
      <w:tblGrid>
        <w:gridCol w:w="4321"/>
        <w:gridCol w:w="2926"/>
      </w:tblGrid>
      <w:tr>
        <w:trPr/>
        <w:tc>
          <w:tcPr>
            <w:tcW w:w="432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84-3211812</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(State or other jurisdiction of incorporation or organization)</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(I.R.S. Employer Identification Number)</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1400 Smith Street</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77002</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Houston, TX</w:t>
              <w:br/>
            </w:r>
            <w:r>
              <w:rPr>
                <w:rFonts w:ascii="Times New Roman" w:hAnsi="Times New Roman"/>
                <w:i/>
                <w:color w:val="000000"/>
                <w:sz w:val="16"/>
              </w:rPr>
              <w:t>(Address of principal executive offices)</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is (832) 854-1000)</w:t>
      </w:r>
    </w:p>
    <w:p>
      <w:pPr>
        <w:pStyle w:val="TextBody"/>
        <w:bidi w:val="0"/>
        <w:spacing w:before="120" w:after="12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8838" w:type="dxa"/>
        <w:jc w:val="left"/>
        <w:tblInd w:w="0" w:type="dxa"/>
        <w:tblLayout w:type="fixed"/>
        <w:tblCellMar>
          <w:top w:w="28" w:type="dxa"/>
          <w:left w:w="28" w:type="dxa"/>
          <w:bottom w:w="28" w:type="dxa"/>
          <w:right w:w="28" w:type="dxa"/>
        </w:tblCellMar>
      </w:tblPr>
      <w:tblGrid>
        <w:gridCol w:w="3796"/>
        <w:gridCol w:w="1561"/>
        <w:gridCol w:w="3481"/>
      </w:tblGrid>
      <w:tr>
        <w:trPr/>
        <w:tc>
          <w:tcPr>
            <w:tcW w:w="379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Title of each class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Trading Symbol(s)</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Name of each exchange on which registered</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shares representing limited partner interests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HESM</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If an emerging growth company, indicate by checkmark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128,350,881</w:t>
      </w:r>
      <w:r>
        <w:rPr>
          <w:rFonts w:ascii="Times New Roman" w:hAnsi="Times New Roman"/>
          <w:color w:val="000000"/>
          <w:sz w:val="20"/>
        </w:rPr>
        <w:t xml:space="preserve"> </w:t>
      </w:r>
      <w:r>
        <w:rPr>
          <w:rFonts w:ascii="Times New Roman" w:hAnsi="Times New Roman"/>
          <w:color w:val="000000"/>
          <w:sz w:val="18"/>
        </w:rPr>
        <w:t>Class A shares representing limited partner interests (“Class A Shares”) in the registrant were outstanding as of July 31, 2026.</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ableofcontents"/>
      <w:bookmarkEnd w:id="2"/>
      <w:r>
        <w:rPr>
          <w:rFonts w:ascii="Times New Roman" w:hAnsi="Times New Roman"/>
          <w:b/>
          <w:color w:val="000000"/>
          <w:sz w:val="20"/>
        </w:rPr>
        <w:t>HESS MIDSTREAM</w:t>
      </w:r>
      <w:r>
        <w:rPr>
          <w:rFonts w:ascii="Times New Roman" w:hAnsi="Times New Roman"/>
          <w:color w:val="000000"/>
          <w:sz w:val="20"/>
        </w:rPr>
        <w:t xml:space="preserve"> </w:t>
      </w:r>
      <w:r>
        <w:rPr>
          <w:rFonts w:ascii="Times New Roman" w:hAnsi="Times New Roman"/>
          <w:b/>
          <w:color w:val="000000"/>
          <w:sz w:val="20"/>
        </w:rPr>
        <w:t>LP</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51"/>
        <w:gridCol w:w="636"/>
        <w:gridCol w:w="8236"/>
        <w:gridCol w:w="146"/>
        <w:gridCol w:w="736"/>
      </w:tblGrid>
      <w:tr>
        <w:trPr/>
        <w:tc>
          <w:tcPr>
            <w:tcW w:w="45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Item</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No.</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PART I—FINANCIAL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balance_sheets">
              <w:r>
                <w:rPr>
                  <w:rStyle w:val="InternetLink"/>
                  <w:rFonts w:ascii="Times New Roman" w:hAnsi="Times New Roman"/>
                  <w:color w:val="0000FF"/>
                  <w:sz w:val="20"/>
                  <w:u w:val="single"/>
                </w:rPr>
                <w:t>Consolidated Balance Sheets at June 30,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operations">
              <w:r>
                <w:rPr>
                  <w:rStyle w:val="InternetLink"/>
                  <w:rFonts w:ascii="Times New Roman" w:hAnsi="Times New Roman"/>
                  <w:color w:val="0000FF"/>
                  <w:sz w:val="20"/>
                  <w:u w:val="single"/>
                </w:rPr>
                <w:t>Consolidated Statements of Operations for the three and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partners_capital">
              <w:r>
                <w:rPr>
                  <w:rStyle w:val="InternetLink"/>
                  <w:rFonts w:ascii="Times New Roman" w:hAnsi="Times New Roman"/>
                  <w:color w:val="0000FF"/>
                  <w:sz w:val="20"/>
                  <w:u w:val="single"/>
                </w:rPr>
                <w:t>Consolidated Statements of Changes in Partners’ Capital (Deficit)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stmt_cashflows">
              <w:r>
                <w:rPr>
                  <w:rStyle w:val="InternetLink"/>
                  <w:rFonts w:ascii="Times New Roman" w:hAnsi="Times New Roman"/>
                  <w:color w:val="0000FF"/>
                  <w:sz w:val="20"/>
                  <w:u w:val="single"/>
                </w:rPr>
                <w:t>Consolidated Statements of Cash Flows for the six months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s">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PART II—OTHER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1A.</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riskfactors">
              <w:r>
                <w:rPr>
                  <w:rStyle w:val="InternetLink"/>
                  <w:rFonts w:ascii="Times New Roman" w:hAnsi="Times New Roman"/>
                  <w:color w:val="0000FF"/>
                  <w:sz w:val="20"/>
                  <w:u w:val="single"/>
                </w:rPr>
                <w:t>Risk Factors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spacing w:before="0" w:after="120"/>
        <w:jc w:val="center"/>
        <w:rPr>
          <w:rFonts w:ascii="Times New Roman" w:hAnsi="Times New Roman"/>
          <w:sz w:val="20"/>
        </w:rPr>
      </w:pPr>
      <w:bookmarkStart w:id="3" w:name="consolidated_balance_sheets"/>
      <w:bookmarkEnd w:id="3"/>
      <w:r>
        <w:rPr>
          <w:rFonts w:ascii="Times New Roman" w:hAnsi="Times New Roman"/>
          <w:b/>
          <w:color w:val="000000"/>
          <w:sz w:val="20"/>
        </w:rPr>
        <w:t>CONSOLIDATED BALANCE SHEETS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1. Financial Statements</w:t>
      </w:r>
    </w:p>
    <w:tbl>
      <w:tblPr>
        <w:tblW w:w="8566" w:type="dxa"/>
        <w:jc w:val="left"/>
        <w:tblInd w:w="0" w:type="dxa"/>
        <w:tblLayout w:type="fixed"/>
        <w:tblCellMar>
          <w:top w:w="28" w:type="dxa"/>
          <w:left w:w="28" w:type="dxa"/>
          <w:bottom w:w="28" w:type="dxa"/>
          <w:right w:w="28" w:type="dxa"/>
        </w:tblCellMar>
      </w:tblPr>
      <w:tblGrid>
        <w:gridCol w:w="5556"/>
        <w:gridCol w:w="211"/>
        <w:gridCol w:w="781"/>
        <w:gridCol w:w="166"/>
        <w:gridCol w:w="146"/>
        <w:gridCol w:w="233"/>
        <w:gridCol w:w="862"/>
        <w:gridCol w:w="611"/>
      </w:tblGrid>
      <w:tr>
        <w:trPr/>
        <w:tc>
          <w:tcPr>
            <w:tcW w:w="5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share amounts)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contracts with customers: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receivable—trade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receivable—affiliate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at 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plant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payable—trade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payable—affiliate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 capital</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A shares (128,350,881 shares issued and outstanding as of </w:t>
              <w:br/>
              <w:t xml:space="preserve">   June 30, 2026; 129,403,244 shares issued and outstanding </w:t>
              <w:br/>
              <w:t>   as of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B shares (77,827,485 shares issued and outstanding as of </w:t>
              <w:br/>
              <w:t xml:space="preserve">   June 30, 2026; 78,283,296 shares issued and outstanding as of </w:t>
              <w:br/>
              <w:t>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Class A and Class B partners’ capital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partners’ capital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partners’ capital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 w:name="consolidated_operations"/>
      <w:bookmarkEnd w:id="4"/>
      <w:r>
        <w:rPr>
          <w:rFonts w:ascii="Times New Roman" w:hAnsi="Times New Roman"/>
          <w:b/>
          <w:color w:val="000000"/>
          <w:sz w:val="20"/>
        </w:rPr>
        <w:t>CONSOLIDATED STATEMENTS OF OPERATIONS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0097" w:type="dxa"/>
        <w:jc w:val="left"/>
        <w:tblInd w:w="0" w:type="dxa"/>
        <w:tblLayout w:type="fixed"/>
        <w:tblCellMar>
          <w:top w:w="28" w:type="dxa"/>
          <w:left w:w="28" w:type="dxa"/>
          <w:bottom w:w="28" w:type="dxa"/>
          <w:right w:w="28" w:type="dxa"/>
        </w:tblCellMar>
      </w:tblPr>
      <w:tblGrid>
        <w:gridCol w:w="4836"/>
        <w:gridCol w:w="146"/>
        <w:gridCol w:w="257"/>
        <w:gridCol w:w="697"/>
        <w:gridCol w:w="178"/>
        <w:gridCol w:w="178"/>
        <w:gridCol w:w="257"/>
        <w:gridCol w:w="697"/>
        <w:gridCol w:w="146"/>
        <w:gridCol w:w="146"/>
        <w:gridCol w:w="235"/>
        <w:gridCol w:w="637"/>
        <w:gridCol w:w="162"/>
        <w:gridCol w:w="162"/>
        <w:gridCol w:w="235"/>
        <w:gridCol w:w="637"/>
        <w:gridCol w:w="4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(exclusive of </w:t>
              <w:br/>
              <w:t>   depreciation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Hess Midstream LP </w:t>
              <w:br/>
              <w:t>   per Class A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5" w:name="consolidated_partners_capital"/>
      <w:bookmarkEnd w:id="5"/>
      <w:r>
        <w:rPr>
          <w:rFonts w:ascii="Times New Roman" w:hAnsi="Times New Roman"/>
          <w:b/>
          <w:color w:val="000000"/>
          <w:sz w:val="20"/>
        </w:rPr>
        <w:t>CONSOLIDATED STATEMENTS OF CHANGES IN PARTNERS’ CAPITAL (DEFICIT)</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7308" w:type="dxa"/>
        <w:jc w:val="left"/>
        <w:tblInd w:w="0" w:type="dxa"/>
        <w:tblLayout w:type="fixed"/>
        <w:tblCellMar>
          <w:top w:w="28" w:type="dxa"/>
          <w:left w:w="28" w:type="dxa"/>
          <w:bottom w:w="28" w:type="dxa"/>
          <w:right w:w="28" w:type="dxa"/>
        </w:tblCellMar>
      </w:tblPr>
      <w:tblGrid>
        <w:gridCol w:w="2616"/>
        <w:gridCol w:w="196"/>
        <w:gridCol w:w="571"/>
        <w:gridCol w:w="166"/>
        <w:gridCol w:w="146"/>
        <w:gridCol w:w="341"/>
        <w:gridCol w:w="289"/>
        <w:gridCol w:w="146"/>
        <w:gridCol w:w="146"/>
        <w:gridCol w:w="306"/>
        <w:gridCol w:w="895"/>
        <w:gridCol w:w="166"/>
        <w:gridCol w:w="146"/>
        <w:gridCol w:w="196"/>
        <w:gridCol w:w="571"/>
        <w:gridCol w:w="411"/>
      </w:tblGrid>
      <w:tr>
        <w:trPr/>
        <w:tc>
          <w:tcPr>
            <w:tcW w:w="2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Distributions - $0.7641</w:t>
            </w:r>
            <w:r>
              <w:rPr>
                <w:rFonts w:ascii="Times New Roman" w:hAnsi="Times New Roman"/>
                <w:color w:val="000000"/>
                <w:sz w:val="20"/>
              </w:rPr>
              <w:t> </w:t>
            </w:r>
            <w:r>
              <w:rPr>
                <w:rFonts w:ascii="Times New Roman" w:hAnsi="Times New Roman"/>
                <w:color w:val="000000"/>
                <w:sz w:val="16"/>
              </w:rPr>
              <w:t>per share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and unit repurchases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Transaction costs </w:t>
            </w:r>
            <w:r>
              <w:rPr>
                <w:rFonts w:ascii="Times New Roman" w:hAnsi="Times New Roman"/>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Distributions - $0.7792</w:t>
            </w:r>
            <w:r>
              <w:rPr>
                <w:rFonts w:ascii="Times New Roman" w:hAnsi="Times New Roman"/>
                <w:color w:val="000000"/>
                <w:sz w:val="20"/>
              </w:rPr>
              <w:t> </w:t>
            </w:r>
            <w:r>
              <w:rPr>
                <w:rFonts w:ascii="Times New Roman" w:hAnsi="Times New Roman"/>
                <w:color w:val="000000"/>
                <w:sz w:val="16"/>
              </w:rPr>
              <w:t>per share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388.0</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Distributions - $0.7012</w:t>
            </w:r>
            <w:r>
              <w:rPr>
                <w:rFonts w:ascii="Times New Roman" w:hAnsi="Times New Roman"/>
                <w:color w:val="000000"/>
                <w:sz w:val="20"/>
              </w:rPr>
              <w:t> </w:t>
            </w:r>
            <w:r>
              <w:rPr>
                <w:rFonts w:ascii="Times New Roman" w:hAnsi="Times New Roman"/>
                <w:color w:val="000000"/>
                <w:sz w:val="16"/>
              </w:rPr>
              <w:t>per share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 of shares held by Sponsors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and unit repurchases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Transaction costs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Distributions - $0.7098</w:t>
            </w:r>
            <w:r>
              <w:rPr>
                <w:rFonts w:ascii="Times New Roman" w:hAnsi="Times New Roman"/>
                <w:color w:val="000000"/>
                <w:sz w:val="20"/>
              </w:rPr>
              <w:t> </w:t>
            </w:r>
            <w:r>
              <w:rPr>
                <w:rFonts w:ascii="Times New Roman" w:hAnsi="Times New Roman"/>
                <w:color w:val="000000"/>
                <w:sz w:val="16"/>
              </w:rPr>
              <w:t>per share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 of shares held by Sponsors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and unit repurchases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Transaction costs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Includes excise tax on Class A Share repurchases.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6" w:name="consolidated_stmt_cashflows"/>
      <w:bookmarkEnd w:id="6"/>
      <w:r>
        <w:rPr>
          <w:rFonts w:ascii="Times New Roman" w:hAnsi="Times New Roman"/>
          <w:b/>
          <w:color w:val="000000"/>
          <w:sz w:val="20"/>
        </w:rPr>
        <w:t>CONSOLIDATED STATEMENTS OF CASH FLOWS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8585" w:type="dxa"/>
        <w:jc w:val="left"/>
        <w:tblInd w:w="0" w:type="dxa"/>
        <w:tblLayout w:type="fixed"/>
        <w:tblCellMar>
          <w:top w:w="28" w:type="dxa"/>
          <w:left w:w="28" w:type="dxa"/>
          <w:bottom w:w="28" w:type="dxa"/>
          <w:right w:w="28" w:type="dxa"/>
        </w:tblCellMar>
      </w:tblPr>
      <w:tblGrid>
        <w:gridCol w:w="5361"/>
        <w:gridCol w:w="146"/>
        <w:gridCol w:w="219"/>
        <w:gridCol w:w="640"/>
        <w:gridCol w:w="186"/>
        <w:gridCol w:w="163"/>
        <w:gridCol w:w="219"/>
        <w:gridCol w:w="640"/>
        <w:gridCol w:w="1011"/>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Adjustments to reconcile net income to net cash provided by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current and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current and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Net proceeds from (repayments of) borrowings with maturities of 90 </w:t>
              <w:br/>
              <w:t>   days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with maturities of greater than 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and unit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decrease in accrued capital expenditures and 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Recognition of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bookmarkStart w:id="7" w:name="notes"/>
      <w:bookmarkEnd w:id="7"/>
      <w:r>
        <w:rPr>
          <w:rFonts w:ascii="Times New Roman" w:hAnsi="Times New Roman"/>
          <w:b/>
          <w:color w:val="000000"/>
          <w:sz w:val="20"/>
        </w:rPr>
        <w:t>Note 1. Basis of</w:t>
      </w:r>
      <w:r>
        <w:rPr>
          <w:rFonts w:ascii="Times New Roman" w:hAnsi="Times New Roman"/>
          <w:color w:val="000000"/>
          <w:sz w:val="20"/>
        </w:rPr>
        <w:t xml:space="preserve"> </w:t>
      </w:r>
      <w:r>
        <w:rPr>
          <w:rFonts w:ascii="Times New Roman" w:hAnsi="Times New Roman"/>
          <w:b/>
          <w:color w:val="000000"/>
          <w:sz w:val="20"/>
        </w:rPr>
        <w:t>Presentation</w:t>
      </w:r>
    </w:p>
    <w:p>
      <w:pPr>
        <w:pStyle w:val="TextBody"/>
        <w:bidi w:val="0"/>
        <w:spacing w:before="0" w:after="120"/>
        <w:jc w:val="both"/>
        <w:rPr>
          <w:rFonts w:ascii="Times New Roman" w:hAnsi="Times New Roman"/>
          <w:sz w:val="20"/>
        </w:rPr>
      </w:pPr>
      <w:r>
        <w:rPr>
          <w:rFonts w:ascii="Times New Roman" w:hAnsi="Times New Roman"/>
          <w:i/>
          <w:color w:val="000000"/>
          <w:sz w:val="20"/>
        </w:rPr>
        <w:t>Unless the context otherwise requires, references in this report to the “Company,” “we,” “our,” “us” or like terms, refer to Hess Midstream LP and its subsidiaries. References to “Sponsor” or “Sponsors” refer to (a) Hess Corporation (“Hess”) and GIP II Blue Holding, L.P. (“GIP”) when referring to periods prior to May 30, 2025, (b) Hess from May 30, 2025 to July 17, 2025, and (c) Chevron from July 18, 2025.</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As used in this report,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consolidated financial statements included in this report reflect all normal and recurring adjustments which, in the opinion of management, are necessary for a fair presentation of our consolidated financial position at June 30, 2026 and December 31, 2025, the consolidated results of operations for the three and six months ended June 30, 2026 and 2025, and the consolidated cash flows for the six months ended June 30, 2026 and 2025. The Company has no items of other comprehensive income (loss); therefore, net income (loss) is equal to comprehensive income (loss). The unaudited results of operations for the interim periods reported are not necessarily indicative of results to be expected for the full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consolidated financial statements were prepared in accordance with the requirements of the Securities and Exchange Commission (“SEC”) for interim reporting. As permitted under those rules, certain notes or other financial information that are normally required by U.S. generally accepted accounting principles (“GAAP”) have been condensed or omitted from these interim consolidated financial statements. These financial statements, therefore, should be read in conjunction with the financial statements and related notes included in the Company’s annual report on Form 10</w:t>
        <w:noBreakHyphen/>
        <w:t>K for the year ended December 31, 2025.</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consolidate the activities of Hess Midstream Operations LP (the “Partnership”), as a variable interest entity (“VIE”) under GAAP. We have concluded that we are the primary beneficiary of the VIE, as defined in the accounting standards, since we have the power, through our ownership, to direct those activities that most significantly impact the economic performance of the Partnership. This conclusion was based on a qualitative analysis that considered the Partnership’s governance structure and the delegation of control provisions, which provide us with the ability to control the operations of the Partnership. All financial statement activities associated with the VIE are captured within gathering, processing and storage, and terminaling and export segments (see Note 10, </w:t>
      </w:r>
      <w:r>
        <w:rPr>
          <w:rFonts w:ascii="Times New Roman" w:hAnsi="Times New Roman"/>
          <w:i/>
          <w:color w:val="000000"/>
          <w:sz w:val="20"/>
        </w:rPr>
        <w:t>Segments</w:t>
      </w:r>
      <w:r>
        <w:rPr>
          <w:rFonts w:ascii="Times New Roman" w:hAnsi="Times New Roman"/>
          <w:color w:val="000000"/>
          <w:sz w:val="20"/>
        </w:rPr>
        <w:t xml:space="preserve">). We currently do not have any independent assets or operations other than our interest in the Partnership. At June 30, 2026, our noncontrolling interest represented an approximate 37.7% interest in the Partnership retained by our Sponsor (December 31, 2025: 37.7%). See Note 2, </w:t>
      </w:r>
      <w:r>
        <w:rPr>
          <w:rFonts w:ascii="Times New Roman" w:hAnsi="Times New Roman"/>
          <w:i/>
          <w:color w:val="000000"/>
          <w:sz w:val="20"/>
        </w:rPr>
        <w:t>Equity Transactions</w:t>
      </w:r>
      <w:r>
        <w:rPr>
          <w:rFonts w:ascii="Times New Roman" w:hAnsi="Times New Roman"/>
          <w:color w:val="000000"/>
          <w:sz w:val="20"/>
        </w:rPr>
        <w:t xml:space="preserve"> for more details.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This ASU requires disclosure, in the notes to financial statements, of specified information about certain costs and expenses. The ASU is effective for public business entities for fiscal years beginning after December 15, 2026, and interim periods beginning after December 15, 2027, with early adoption permitted. We are currently evaluating the impact of this new ASU on our consolidated financial statements.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2. Equity Transactions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Equity Offering Transactions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February 12, 2025, GIP sold an aggregate of 11,000,000 of our Class A shares representing limited partner interests in the Company (the “Class A Shares”) in an underwritten public offering at a price of $39.45 per Class A Share, less underwriting discounts. GIP also granted the underwriter an option to purchase up to an additional 1,650,000 Class A Shares at the same price per Class A Share, which was exercised in full on February 19, 2025. GIP received net proceeds from the offering of approximately $494.7 million, after deducting underwriting discounts.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May 30, 2025, GIP sold an aggregate of 15,022,517 of our Class A Shares in an underwritten public offering at a price of $37.25 per Class A Share, less underwriting discounts. GIP received net proceeds from the offering of approximately $553.7 million, after deducting underwriting discounts. As of the closing of this offering, GIP no longer held a direct or indirect ownership interest in any of the Company, the Partnership or our general partner.</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did not receive any proceeds in the equity offering transactions described above. The above equity offering transactions were conducted pursuant to a registration rights agreement among us and the Sponsors. The Class A Shares sold in the offerings were obtained by GIP by exchanging to us a corresponding number of Class B units representing limited partner interests in the Partnership (the “Class B Units”) held by GIP, together with an equal number of Class B shares representing limited partner interests in the Company (the “Class B Shares”) held by the Company’s general partner at the time. As a result, the total number of the Company’s Class A Shares and Class B Shares did not change. The Company retained control in the Partnership based on the delegation of control provisions, as described in Note 1, </w:t>
      </w:r>
      <w:r>
        <w:rPr>
          <w:rFonts w:ascii="Times New Roman" w:hAnsi="Times New Roman"/>
          <w:i/>
          <w:color w:val="000000"/>
          <w:sz w:val="20"/>
        </w:rPr>
        <w:t>Basis of Presentation</w:t>
      </w:r>
      <w:r>
        <w:rPr>
          <w:rFonts w:ascii="Times New Roman" w:hAnsi="Times New Roman"/>
          <w:color w:val="000000"/>
          <w:sz w:val="20"/>
        </w:rPr>
        <w:t xml:space="preserve">. As a result of the equity offering transactions described above, we recognized adjustments decreasing the carrying amount of the Class A shareholders’ capital balance by $44.9 million during the six months ended June 30, 2025 and increasing the carrying amount of noncontrolling interest by an equal amount to reflect the change in ownership interest.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Class B Unit Repurchases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13, 2025, the Company, the Partnership and our Sponsors entered into a unit repurchase agreement, pursuant to which the Partnership agreed to purchase from the Sponsors 2,572,677 Class B Units for an aggregate purchase price of approximately $100.0 million. The repurchase transaction was consummated on January 15, 2025. The purchase price per Class B Unit was $38.87, the closing price of the Class A Shares on January 13,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May 5, 2025, the Company, the Partnership and our Sponsors entered into a unit repurchase agreement, pursuant to which the Partnership agreed to purchase from the Sponsors 5,151,842 Class B Units for an aggregate purchase price of approximately $190.0 million. The repurchase transaction was consummated on May 9, 2025. The purchase price per Class B Unit was $36.88, the closing price of the Class A Shares on May 5,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 2026, the Company, the Partnership and our Sponsor entered into a unit repurchase agreement, pursuant to which the Partnership agreed to purchase from the Sponsor 455,811 Class B Units for an aggregate purchase price of approximately $18.0 million. The repurchase transaction was consummated on March 4, 2026. The purchase price per Class B Unit was $39.49, the closing price of the Class A Shares on March 2,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terms of the unit repurchase agreements described above, immediately following each purchase of the Class B Units from the Sponsors, the Partnership cancelled the repurchased units, and the Company cancelled, for no consideration, an equal number of its Class B Shares.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Accelerated Share Repurchases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second quarter of 2025, we repurchased $10.0 million of our publicly traded Class A Shares through an accelerated share repurchase (“ASR”) transaction with a financial institution. Under the terms of the ASR, we paid $10.0 million in cash to the financial institution and received 267,532 Class A Shares as determined by the average of the daily volume-weighted average prices of Class A Shares during the term of the transaction.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first quarter of 2026, we repurchased $42.0 million of our publicly traded Class A Shares through an ASR transaction with a financial institution. Under the terms of the ASR, we paid $42.0 million in cash to the financial institution and received 1,065,724 Class A Shares as determined by the average of the daily volume-weighted average prices of Class A Shares during the term of the transaction.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Following the settlement of the ASR transactions described above, the Company cancelled the repurchased Class A Shares, and the Partnership cancelled, for no consideration, an equal number of its Class A units representing limited partner interests in the Partnership.</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Class B Unit repurchase and the ASR transactions described above were funded using borrowings under the Partnership’s existing revolving credit facility (see Note 5, </w:t>
      </w:r>
      <w:r>
        <w:rPr>
          <w:rFonts w:ascii="Times New Roman" w:hAnsi="Times New Roman"/>
          <w:i/>
          <w:color w:val="000000"/>
          <w:sz w:val="20"/>
        </w:rPr>
        <w:t>Debt and Interest Expense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Class B Unit repurchase and the ASR transactions were accounted for in accordance with Accounting Standards Codification 810, whereby changes in a parent’s ownership interest while the parent retains its controlling financial interest in its subsidiary are accounted for as equity transactions. The carrying amounts of the noncontrolling interest were adjusted to reflect the changes in the ownership interest with the difference between the amounts of consideration paid and the amounts by which the noncontrolling interest were adjusted recognized as a reduction in equity attributable to Class A shareholders.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a result of the transactions described above, we recognized a direct reduction to deferred tax asset of $1.1 million (six months ended June 30, 2025: an addition to deferred tax asset of $306.7 million) related to the change in the temporary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difference between the carrying amount and the tax basis of our investment in the Partnership. The effect of recognizing the changes in deferred tax asset was included in Class A shareholders’ equity balance in the accompanying unaudited consolidated statement of changes in partners’ capital (deficit) due to the transactions being characterized as transactions among or with shareholders.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3. Related Party Transactions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Class B Unit repurchase transactions and distributions to the Sponsors disclosed elsewhere in the Notes to consolidated financial statements, we had the following related party transactions: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Commercial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long-term fee-based commercial agreements with certain subsidiaries of Chevron to provide (i) gas gathering, (ii) crude oil gathering, (iii) gas processing and fractionation, (iv) storage services, (v) terminaling and export services, and (vi) water handling services.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the services performed under these commercial agreements, we receive a fee per barrel of crude oil, barrel of water, Mcf of natural gas, or Mcf equivalent of natural gas liquids (“NGLs”), as applicable, delivered during each month, and Chevron is obligated to provide us with minimum volumes of crude oil, water, natural gas and NGLs. Minimum volume commitments (“MVCs”) are equal to 80% of Chevron’s nominations in each development plan that apply on a three-year rolling basis such that MVCs are set for the three years following the most recent nomination. Without our consent, the MVCs resulting from the nominated volumes for any quarter or year contained in any prior development plan cannot be reduced by any updated development plan unless dedicated production is released by us. The applicable MVCs may, however, be increased as a result of the nominations contained in any such updated development plan. If Chevron fails to deliver its applicable MVCs during any quarter, then Chevron will pay us a shortfall fee equal to the volume of the deficiency multiplied by the applicable fee.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Except for the water services agreements and except for a certain gathering sub-system as described below, each of our commercial agreements with Chevron had an initial 10-year term effective January 1, 2014 (“Initial Term”). For this gathering sub-system, the Initial Term is 15 years effective January 1, 2014 and for the water services agreements the Initial Term is 14 years effective January 1, 2019. Each of our commercial agreements other than our storage services agreement includes an inflation escalator capped at 3% in any calendar year and a fee recalculation mechanism that allows fees to be adjusted annually during the Initial Term for updated estimates of cumulative throughput volumes and our capital and operating expenditures in order to target a return on capital deployed over the Initial Term of the applicable commercial agreement (or, with respect to the crude oil services fee under our terminal and export services agreement, the 20-year period commencing on the effective date of the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certain crude oil gathering, terminaling, storage, gas processing and gas gathering commercial agreements with Chevron, we exercised our renewal options to extend each of these commercial agreements for one additional 10-year term (“Secondary Term”) effective January 1, 2024 through December 31, 2033. There were no changes to any provisions of the existing commercial agreements as a result of the exercise of the renewal options. For the remaining gathering sub-system, the Secondary Term is 5 years, and for the water services agreements the Secondary Term is 10 years, and we have the sole option to renew these remaining agreements for their Secondary Term that is exercisable at a later date. Upon the expiration of the Secondary Term, if any, the agreements will automatically renew for subsequent one-year periods unless terminated by either party no later than 180 days prior to the end of the applicable Secondary Term.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Consistent with the existing terms of the commercial agreements, during the Secondary Term of each of our commercial agreements other than our storage services agreement and terminal and export services agreement (with respect to crude oil terminaling services), the fee recalculation model under each applicable agreement is replaced by an inflation-based fee structure. The initial fee for the first year of the Secondary Term is determined based on the average fees paid by Chevron under the applicable agreement during the last three years of the Initial Term (with such fees adjusted for inflation through the first year of the Secondary Term). For each year following the first year of the Secondary Term, the applicable fee is adjusted annually based on the percentage change in the consumer price index, provided that we may not increase any fee by more than 3% in any calendar year solely by reason of an increase in the consumer price index, and no fee may ever be reduced below the amount of the applicable fee payable by Chevron in the prior year as a result of a decrease in the consumer price index. During the Secondary Term, MVCs continue to be set at 80% of Chevron’s nominated volumes in each development plan set three years in advance. Except for the crude oil terminaling and water handling services, Chevron is entitled to receive a credit, calculated in barrels or Mcf, as applicable, with respect to the amount of any shortfall fee paid by Chevron and may apply such credit against any volumes delivered to us under the applicable agreement in excess of Chevron’s nominated volumes during any of the following four quarters after such credit is earned, after which time any unused credits will expire. The shortfall amounts received under MVCs during the Secondary Term (except for the crude oil terminaling and water handling services) are initially recorded as deferred revenue and recognized as revenue as the credits are utilized, expire, or when the likelihood of Chevron utilizing its remaining credits becomes remote.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presents a summary of contract liability activity related to MVC shortfall fees:</w:t>
      </w:r>
    </w:p>
    <w:tbl>
      <w:tblPr>
        <w:tblW w:w="6930" w:type="dxa"/>
        <w:jc w:val="left"/>
        <w:tblInd w:w="0" w:type="dxa"/>
        <w:tblLayout w:type="fixed"/>
        <w:tblCellMar>
          <w:top w:w="28" w:type="dxa"/>
          <w:left w:w="28" w:type="dxa"/>
          <w:bottom w:w="28" w:type="dxa"/>
          <w:right w:w="28" w:type="dxa"/>
        </w:tblCellMar>
      </w:tblPr>
      <w:tblGrid>
        <w:gridCol w:w="5896"/>
        <w:gridCol w:w="146"/>
        <w:gridCol w:w="211"/>
        <w:gridCol w:w="466"/>
        <w:gridCol w:w="21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MVC shortfall fees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MVC shortfall fees recognized in revenue that were previously 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attributable to our fee</w:t>
        <w:noBreakHyphen/>
        <w:t>based commercial agreements with Chevron, including revenues from third</w:t>
        <w:noBreakHyphen/>
        <w:t>party volumes contracted with Chevron and delivered to us under these agreements, were 95% for both the three and six months ended June 30, 2026, compared with 98% for both the three and six months ended June 30, 2025. Together with Chevron, we are pursuing strategic relationships with third</w:t>
        <w:noBreakHyphen/>
        <w:t>party producers and other midstream companies with operations in the Bakken in order to maximize our utilization rates.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from contracts with customers, including affiliate services and third-party services, on a disaggregated basis are as follows:</w:t>
      </w:r>
    </w:p>
    <w:tbl>
      <w:tblPr>
        <w:tblW w:w="9188" w:type="dxa"/>
        <w:jc w:val="left"/>
        <w:tblInd w:w="0" w:type="dxa"/>
        <w:tblLayout w:type="fixed"/>
        <w:tblCellMar>
          <w:top w:w="28" w:type="dxa"/>
          <w:left w:w="28" w:type="dxa"/>
          <w:bottom w:w="28" w:type="dxa"/>
          <w:right w:w="28" w:type="dxa"/>
        </w:tblCellMar>
      </w:tblPr>
      <w:tblGrid>
        <w:gridCol w:w="3881"/>
        <w:gridCol w:w="146"/>
        <w:gridCol w:w="257"/>
        <w:gridCol w:w="697"/>
        <w:gridCol w:w="178"/>
        <w:gridCol w:w="178"/>
        <w:gridCol w:w="257"/>
        <w:gridCol w:w="697"/>
        <w:gridCol w:w="146"/>
        <w:gridCol w:w="146"/>
        <w:gridCol w:w="146"/>
        <w:gridCol w:w="235"/>
        <w:gridCol w:w="637"/>
        <w:gridCol w:w="162"/>
        <w:gridCol w:w="162"/>
        <w:gridCol w:w="235"/>
        <w:gridCol w:w="637"/>
        <w:gridCol w:w="391"/>
      </w:tblGrid>
      <w:tr>
        <w:trPr/>
        <w:tc>
          <w:tcPr>
            <w:tcW w:w="3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Oil and gas gathering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storage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Terminaling and export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Water gathering and disposal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presents third-party pass-through costs for which we recognize revenues in an amount equal to the costs. These pass-through revenues are included in Affiliate services, and the related pass-through costs are included in Operating and maintenance expenses in the accompanying unaudited consolidated statements of operations. </w:t>
      </w:r>
    </w:p>
    <w:tbl>
      <w:tblPr>
        <w:tblW w:w="8921" w:type="dxa"/>
        <w:jc w:val="left"/>
        <w:tblInd w:w="0" w:type="dxa"/>
        <w:tblLayout w:type="fixed"/>
        <w:tblCellMar>
          <w:top w:w="28" w:type="dxa"/>
          <w:left w:w="28" w:type="dxa"/>
          <w:bottom w:w="28" w:type="dxa"/>
          <w:right w:w="28" w:type="dxa"/>
        </w:tblCellMar>
      </w:tblPr>
      <w:tblGrid>
        <w:gridCol w:w="3616"/>
        <w:gridCol w:w="146"/>
        <w:gridCol w:w="290"/>
        <w:gridCol w:w="641"/>
        <w:gridCol w:w="200"/>
        <w:gridCol w:w="200"/>
        <w:gridCol w:w="290"/>
        <w:gridCol w:w="641"/>
        <w:gridCol w:w="146"/>
        <w:gridCol w:w="146"/>
        <w:gridCol w:w="146"/>
        <w:gridCol w:w="265"/>
        <w:gridCol w:w="586"/>
        <w:gridCol w:w="183"/>
        <w:gridCol w:w="183"/>
        <w:gridCol w:w="265"/>
        <w:gridCol w:w="586"/>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Electricity and other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Produced water trucking and disposal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Omnibus and Employee Secondment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our omnibus and employee secondment agreements, Chevron provides substantial operational and administrative services to us in support of our assets and operations. For the three and six months ended June 30, 2026 and 2025, we had the following charges from Chevron included in Operating and maintenance expenses and General and administrative expenses in the accompanying unaudited consolidated statements of operations. The classification of these charges between operating and maintenance expenses and general and administrative expenses is based on the fundamental nature of the services being performed for our operations.</w:t>
      </w:r>
    </w:p>
    <w:tbl>
      <w:tblPr>
        <w:tblW w:w="8441" w:type="dxa"/>
        <w:jc w:val="left"/>
        <w:tblInd w:w="0" w:type="dxa"/>
        <w:tblLayout w:type="fixed"/>
        <w:tblCellMar>
          <w:top w:w="28" w:type="dxa"/>
          <w:left w:w="28" w:type="dxa"/>
          <w:bottom w:w="28" w:type="dxa"/>
          <w:right w:w="28" w:type="dxa"/>
        </w:tblCellMar>
      </w:tblPr>
      <w:tblGrid>
        <w:gridCol w:w="3136"/>
        <w:gridCol w:w="146"/>
        <w:gridCol w:w="290"/>
        <w:gridCol w:w="641"/>
        <w:gridCol w:w="200"/>
        <w:gridCol w:w="200"/>
        <w:gridCol w:w="290"/>
        <w:gridCol w:w="641"/>
        <w:gridCol w:w="146"/>
        <w:gridCol w:w="146"/>
        <w:gridCol w:w="146"/>
        <w:gridCol w:w="265"/>
        <w:gridCol w:w="586"/>
        <w:gridCol w:w="183"/>
        <w:gridCol w:w="183"/>
        <w:gridCol w:w="265"/>
        <w:gridCol w:w="586"/>
        <w:gridCol w:w="3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and maintenance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LM4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Separately from our commercial agreements with Chevron, we entered into a gas processing agreement with Little Missouri 4 (“LM4”), a 50/50 joint venture with Targa Resources Corp., under which we pay a processing fee per Mcf of natural gas and reimburse LM4 for our proportionate share of electricity costs. These processing fees are included in Operating and maintenance expenses in the accompanying unaudited consolidated statements of operations. In addition, we share profits and losses and receive distributions from LM4 under the LM4 amended and restated limited liability company agreement based on our ownership interest. For the three and six months ended June 30, 2026 and 2025, we had the following activity related to our agreements with LM4:</w:t>
      </w:r>
    </w:p>
    <w:tbl>
      <w:tblPr>
        <w:tblW w:w="9037" w:type="dxa"/>
        <w:jc w:val="left"/>
        <w:tblInd w:w="0" w:type="dxa"/>
        <w:tblLayout w:type="fixed"/>
        <w:tblCellMar>
          <w:top w:w="28" w:type="dxa"/>
          <w:left w:w="28" w:type="dxa"/>
          <w:bottom w:w="28" w:type="dxa"/>
          <w:right w:w="28" w:type="dxa"/>
        </w:tblCellMar>
      </w:tblPr>
      <w:tblGrid>
        <w:gridCol w:w="3931"/>
        <w:gridCol w:w="146"/>
        <w:gridCol w:w="310"/>
        <w:gridCol w:w="685"/>
        <w:gridCol w:w="214"/>
        <w:gridCol w:w="214"/>
        <w:gridCol w:w="310"/>
        <w:gridCol w:w="530"/>
        <w:gridCol w:w="146"/>
        <w:gridCol w:w="146"/>
        <w:gridCol w:w="146"/>
        <w:gridCol w:w="265"/>
        <w:gridCol w:w="586"/>
        <w:gridCol w:w="183"/>
        <w:gridCol w:w="183"/>
        <w:gridCol w:w="265"/>
        <w:gridCol w:w="58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fee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received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4. Accrued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liabilities are as follows:</w:t>
      </w:r>
    </w:p>
    <w:tbl>
      <w:tblPr>
        <w:tblW w:w="5945" w:type="dxa"/>
        <w:jc w:val="left"/>
        <w:tblInd w:w="0" w:type="dxa"/>
        <w:tblLayout w:type="fixed"/>
        <w:tblCellMar>
          <w:top w:w="28" w:type="dxa"/>
          <w:left w:w="28" w:type="dxa"/>
          <w:bottom w:w="28" w:type="dxa"/>
          <w:right w:w="28" w:type="dxa"/>
        </w:tblCellMar>
      </w:tblPr>
      <w:tblGrid>
        <w:gridCol w:w="2491"/>
        <w:gridCol w:w="146"/>
        <w:gridCol w:w="350"/>
        <w:gridCol w:w="775"/>
        <w:gridCol w:w="146"/>
        <w:gridCol w:w="146"/>
        <w:gridCol w:w="467"/>
        <w:gridCol w:w="1033"/>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60" w:after="120"/>
        <w:jc w:val="left"/>
        <w:rPr>
          <w:rFonts w:ascii="Times New Roman" w:hAnsi="Times New Roman"/>
          <w:b/>
          <w:color w:val="000000"/>
          <w:sz w:val="20"/>
        </w:rPr>
      </w:pPr>
      <w:r>
        <w:rPr>
          <w:rFonts w:ascii="Times New Roman" w:hAnsi="Times New Roman"/>
          <w:b/>
          <w:color w:val="000000"/>
          <w:sz w:val="20"/>
        </w:rPr>
        <w:t>Note 5. Debt and Interest Expense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June 30, 2026, the carrying value of our total debt was $3,680.0 million. Excluding deferred issuance costs, our total borrowings at June 30, 2026 consisted of $3,100.0 million outstanding under our fixed-rate senior unsecured notes, $256.0 million drawn and outstanding under our $1.0 billion five-year revolving credit facility and $347.5 million outstanding under our $400.0 million five-year Term Loan A facility. The revolving credit facility and the Term Loan A facility (together the “Credit Facilities”) mature in July 2027.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June 30, 2026, the fair value of our total debt was approximately $3,694.8 million, based on Level 2 inputs in the fair value measurement hierarchy. The carrying value of the amounts under the Term Loan A facility and the revolving credit facility at June 30, 2026, approximated their fair value. Any changes in interest rates do not impact cash outflows associated with fixed rate interest payments or settlement of debt principal, unless a debt instrument is repurchased prior to maturity.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6. Partners’ Capital and Distributions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partnership agreement requires that, within 45 days after the end of each quarter, we distribute all of our available cash, as defined in the partnership agreement, to shareholders of record on the applicable record date. The following table details the distributions declared and/or paid for the periods presented:</w:t>
      </w:r>
    </w:p>
    <w:p>
      <w:pPr>
        <w:pStyle w:val="TextBody"/>
        <w:bidi w:val="0"/>
        <w:jc w:val="both"/>
        <w:rPr>
          <w:rFonts w:ascii="Times New Roman" w:hAnsi="Times New Roman"/>
          <w:i/>
          <w:color w:val="000000"/>
          <w:sz w:val="2"/>
        </w:rPr>
      </w:pPr>
      <w:r>
        <w:rPr>
          <w:rFonts w:ascii="Times New Roman" w:hAnsi="Times New Roman"/>
          <w:i/>
          <w:color w:val="000000"/>
          <w:sz w:val="2"/>
        </w:rPr>
        <w:t>z</w:t>
      </w:r>
    </w:p>
    <w:p>
      <w:pPr>
        <w:pStyle w:val="TextBody"/>
        <w:bidi w:val="0"/>
        <w:jc w:val="both"/>
        <w:rPr/>
      </w:pPr>
      <w:r>
        <w:rPr/>
        <w:t> </w:t>
      </w:r>
    </w:p>
    <w:p>
      <w:pPr>
        <w:pStyle w:val="TextBody"/>
        <w:bidi w:val="0"/>
        <w:jc w:val="both"/>
        <w:rPr/>
      </w:pPr>
      <w:r>
        <w:rPr/>
        <w:t> </w:t>
      </w:r>
    </w:p>
    <w:tbl>
      <w:tblPr>
        <w:tblW w:w="8252" w:type="dxa"/>
        <w:jc w:val="left"/>
        <w:tblInd w:w="0" w:type="dxa"/>
        <w:tblLayout w:type="fixed"/>
        <w:tblCellMar>
          <w:top w:w="28" w:type="dxa"/>
          <w:left w:w="28" w:type="dxa"/>
          <w:bottom w:w="28" w:type="dxa"/>
          <w:right w:w="28" w:type="dxa"/>
        </w:tblCellMar>
      </w:tblPr>
      <w:tblGrid>
        <w:gridCol w:w="1996"/>
        <w:gridCol w:w="146"/>
        <w:gridCol w:w="1606"/>
        <w:gridCol w:w="146"/>
        <w:gridCol w:w="1711"/>
        <w:gridCol w:w="146"/>
        <w:gridCol w:w="549"/>
        <w:gridCol w:w="1761"/>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Distribution per Class A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Second Quarter 2026</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For more information, see Note 11, Subsequent Events.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7. Earnings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calculate earnings per Class A Share as we do not have any other participating securities. Substantially all of income tax expense is attributed to earnings of Class A Shares reflective of our organizational structure. Class B Units of the Partnership together with the equal number of Class B Shares of the Company are convertible to Class A Shares of the Company on a one-for-one basis. In addition, our restricted equity-based awards may have a dilutive effect on our earnings per share. Diluted earnings per Class A Share are calculated using the “treasury stock method” or “if-converted method,” whichever is more dilutive.</w:t>
      </w:r>
    </w:p>
    <w:tbl>
      <w:tblPr>
        <w:tblW w:w="10043" w:type="dxa"/>
        <w:jc w:val="left"/>
        <w:tblInd w:w="0" w:type="dxa"/>
        <w:tblLayout w:type="fixed"/>
        <w:tblCellMar>
          <w:top w:w="28" w:type="dxa"/>
          <w:left w:w="28" w:type="dxa"/>
          <w:bottom w:w="28" w:type="dxa"/>
          <w:right w:w="28" w:type="dxa"/>
        </w:tblCellMar>
      </w:tblPr>
      <w:tblGrid>
        <w:gridCol w:w="4636"/>
        <w:gridCol w:w="246"/>
        <w:gridCol w:w="257"/>
        <w:gridCol w:w="697"/>
        <w:gridCol w:w="178"/>
        <w:gridCol w:w="178"/>
        <w:gridCol w:w="257"/>
        <w:gridCol w:w="697"/>
        <w:gridCol w:w="146"/>
        <w:gridCol w:w="146"/>
        <w:gridCol w:w="235"/>
        <w:gridCol w:w="637"/>
        <w:gridCol w:w="162"/>
        <w:gridCol w:w="162"/>
        <w:gridCol w:w="235"/>
        <w:gridCol w:w="637"/>
        <w:gridCol w:w="246"/>
        <w:gridCol w:w="291"/>
      </w:tblGrid>
      <w:tr>
        <w:trPr/>
        <w:tc>
          <w:tcPr>
            <w:tcW w:w="46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amounts)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Hess Midstream LP</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Hess Midstream LP </w:t>
              <w:br/>
              <w:t>   per Class A share: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shares outstanding: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spacing w:before="0" w:after="12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three and six months ended June 30, 2026 and 2025, we did not have any material dilutive restricted shares.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8. Concentration of Credit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June 30, 2026 and December 31, 2025, Chevron and its affiliates represented approximately 94% and 96%, respectively, of accounts receivable from contracts with customers. Total revenues attributable to Chevron for both the three and six months ended June 30, 2026 were 95%, compared with 98% for both the three and six months ended June 30, 2025.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9. Commitments and Contingencies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Contingencies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subject to federal, state and local laws and regulations relating to the environment. As of June 30, 2026 our reserves for all estimated remediation liabilities were $3.4 million in Accrued liabilities and $0.3 million in Other noncurrent liabilities, each in the accompanying unaudited consolidated balance sheet, compared with $1.4 million and $0.9 million, respectively, as of December 31,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ordinary course of business, the Company is from time to time party to various judicial and administrative proceedings. We regularly assess the need for accounting recognition or disclosure of these contingencies. In the case of a known contingency, we accrue a liability when the loss is probable and the amount is reasonably estimable. If a range of amounts can be reasonably estimated and no amount within the range is a better estimate than any other amount, then the minimum of the range is accrued.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Based on currently available information, we believe it is remote that the outcome of known matters would have a material adverse impact on our financial condition, results of operations or cash flows. Accordingly, as of June 30, 2026 and December 31, 2025, we did not have material accrued liabilities for legal contingencies.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10. Segments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operations are located in the United States and are organized into three reportable segments: (1) gathering, (2) processing and storage and (3) terminaling and export. Our reportable segments comprise the structure used by our Chief Executive Officer and Chief Financial Officer, who, collectively, have been determined to be our Chief Operating Decision Maker (“CODM”) to make key operating decisions and assess performance. These segments are strategic business units with differing products and services. Interest and Other includes certain functional departments that do not recognize revenues.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CODM evaluates the segments’ operating performance based on Adjusted EBITDA, defined as net income (loss) before net interest expense, income tax expense (benefit), and depreciation and amortization, as further adjusted to eliminate the impact of certain items that we do not consider indicative of our ongoing operating performance, such as transaction costs, other income and other non-cash and non</w:t>
        <w:noBreakHyphen/>
        <w:t>recurring items, if applicable. For all of the segments, the CODM uses segment Adjusted EBITDA in the annual budgeting and monthly forecasting process. The CODM considers budget-to-current forecast and prior forecast-to-current forecast variances for Adjusted EBITDA on a monthly basis for evaluating performance of each segment and making decisions about allocating capital and other resources to each segment.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tables reflect certain financial data for each reportable segment:</w:t>
      </w:r>
    </w:p>
    <w:tbl>
      <w:tblPr>
        <w:tblW w:w="10205" w:type="dxa"/>
        <w:jc w:val="left"/>
        <w:tblInd w:w="0" w:type="dxa"/>
        <w:tblLayout w:type="fixed"/>
        <w:tblCellMar>
          <w:top w:w="28" w:type="dxa"/>
          <w:left w:w="28" w:type="dxa"/>
          <w:bottom w:w="28" w:type="dxa"/>
          <w:right w:w="28" w:type="dxa"/>
        </w:tblCellMar>
      </w:tblPr>
      <w:tblGrid>
        <w:gridCol w:w="2056"/>
        <w:gridCol w:w="146"/>
        <w:gridCol w:w="199"/>
        <w:gridCol w:w="522"/>
        <w:gridCol w:w="146"/>
        <w:gridCol w:w="146"/>
        <w:gridCol w:w="328"/>
        <w:gridCol w:w="859"/>
        <w:gridCol w:w="146"/>
        <w:gridCol w:w="146"/>
        <w:gridCol w:w="401"/>
        <w:gridCol w:w="865"/>
        <w:gridCol w:w="146"/>
        <w:gridCol w:w="146"/>
        <w:gridCol w:w="364"/>
        <w:gridCol w:w="952"/>
        <w:gridCol w:w="146"/>
        <w:gridCol w:w="146"/>
        <w:gridCol w:w="303"/>
        <w:gridCol w:w="653"/>
        <w:gridCol w:w="146"/>
        <w:gridCol w:w="146"/>
        <w:gridCol w:w="249"/>
        <w:gridCol w:w="652"/>
        <w:gridCol w:w="19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For the 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and maintenance expenses</w:t>
              <w:br/>
              <w:t>    (exclusive of depreciation shown</w:t>
              <w:br/>
              <w:t>    separately below)</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Consolidated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For the 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and maintenance expenses</w:t>
              <w:br/>
              <w:t>    (exclusive of depreciation shown</w:t>
              <w:br/>
              <w:t>    separately below)</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43"/>
        <w:gridCol w:w="146"/>
        <w:gridCol w:w="199"/>
        <w:gridCol w:w="522"/>
        <w:gridCol w:w="146"/>
        <w:gridCol w:w="146"/>
        <w:gridCol w:w="327"/>
        <w:gridCol w:w="854"/>
        <w:gridCol w:w="146"/>
        <w:gridCol w:w="146"/>
        <w:gridCol w:w="399"/>
        <w:gridCol w:w="861"/>
        <w:gridCol w:w="146"/>
        <w:gridCol w:w="146"/>
        <w:gridCol w:w="362"/>
        <w:gridCol w:w="946"/>
        <w:gridCol w:w="146"/>
        <w:gridCol w:w="146"/>
        <w:gridCol w:w="274"/>
        <w:gridCol w:w="716"/>
        <w:gridCol w:w="146"/>
        <w:gridCol w:w="146"/>
        <w:gridCol w:w="249"/>
        <w:gridCol w:w="652"/>
        <w:gridCol w:w="195"/>
      </w:tblGrid>
      <w:tr>
        <w:trPr/>
        <w:tc>
          <w:tcPr>
            <w:tcW w:w="20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For the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and maintenance expenses</w:t>
              <w:br/>
              <w:t>    (exclusive of depreciation shown</w:t>
              <w:br/>
              <w:t>    separately below)</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For the 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and maintenance expenses</w:t>
              <w:br/>
              <w:t>    (exclusive of depreciation shown</w:t>
              <w:br/>
              <w:t>    separately below)</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presents a reconciliation of reportable segment Adjusted EBITDA to income before income tax expense:</w:t>
      </w:r>
    </w:p>
    <w:tbl>
      <w:tblPr>
        <w:tblW w:w="8877" w:type="dxa"/>
        <w:jc w:val="left"/>
        <w:tblInd w:w="0" w:type="dxa"/>
        <w:tblLayout w:type="fixed"/>
        <w:tblCellMar>
          <w:top w:w="28" w:type="dxa"/>
          <w:left w:w="28" w:type="dxa"/>
          <w:bottom w:w="28" w:type="dxa"/>
          <w:right w:w="28" w:type="dxa"/>
        </w:tblCellMar>
      </w:tblPr>
      <w:tblGrid>
        <w:gridCol w:w="3916"/>
        <w:gridCol w:w="146"/>
        <w:gridCol w:w="257"/>
        <w:gridCol w:w="697"/>
        <w:gridCol w:w="178"/>
        <w:gridCol w:w="178"/>
        <w:gridCol w:w="257"/>
        <w:gridCol w:w="697"/>
        <w:gridCol w:w="146"/>
        <w:gridCol w:w="146"/>
        <w:gridCol w:w="235"/>
        <w:gridCol w:w="637"/>
        <w:gridCol w:w="162"/>
        <w:gridCol w:w="162"/>
        <w:gridCol w:w="235"/>
        <w:gridCol w:w="637"/>
        <w:gridCol w:w="1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reportable segment Adjusted</w:t>
              <w:br/>
              <w:t xml:space="preserve">    EBITDA to income before income tax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reportable segment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Unallocated general and administrative</w:t>
              <w:br/>
              <w:t>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6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assets for the reportable segments are as follows:</w:t>
      </w:r>
    </w:p>
    <w:tbl>
      <w:tblPr>
        <w:tblW w:w="6385" w:type="dxa"/>
        <w:jc w:val="left"/>
        <w:tblInd w:w="0" w:type="dxa"/>
        <w:tblLayout w:type="fixed"/>
        <w:tblCellMar>
          <w:top w:w="28" w:type="dxa"/>
          <w:left w:w="28" w:type="dxa"/>
          <w:bottom w:w="28" w:type="dxa"/>
          <w:right w:w="28" w:type="dxa"/>
        </w:tblCellMar>
      </w:tblPr>
      <w:tblGrid>
        <w:gridCol w:w="2931"/>
        <w:gridCol w:w="146"/>
        <w:gridCol w:w="254"/>
        <w:gridCol w:w="871"/>
        <w:gridCol w:w="146"/>
        <w:gridCol w:w="146"/>
        <w:gridCol w:w="339"/>
        <w:gridCol w:w="1161"/>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Gathering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Processing and Storage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Terminaling and Export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reportable segments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consolidated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rFonts w:ascii="Times New Roman" w:hAnsi="Times New Roman"/>
          <w:sz w:val="20"/>
        </w:rPr>
      </w:pPr>
      <w:r>
        <w:rPr>
          <w:rFonts w:ascii="Times New Roman" w:hAnsi="Times New Roman"/>
          <w:i/>
          <w:color w:val="000000"/>
          <w:sz w:val="16"/>
        </w:rPr>
        <w:t>(1) Includes investment in equity investees of $83.2</w:t>
      </w:r>
      <w:r>
        <w:rPr>
          <w:rFonts w:ascii="Times New Roman" w:hAnsi="Times New Roman"/>
          <w:color w:val="000000"/>
          <w:sz w:val="20"/>
        </w:rPr>
        <w:t xml:space="preserve"> </w:t>
      </w:r>
      <w:r>
        <w:rPr>
          <w:rFonts w:ascii="Times New Roman" w:hAnsi="Times New Roman"/>
          <w:i/>
          <w:color w:val="000000"/>
          <w:sz w:val="16"/>
        </w:rPr>
        <w:t>million as of June 30, 2026</w:t>
      </w:r>
      <w:r>
        <w:rPr>
          <w:rFonts w:ascii="Times New Roman" w:hAnsi="Times New Roman"/>
          <w:color w:val="000000"/>
          <w:sz w:val="20"/>
        </w:rPr>
        <w:t xml:space="preserve"> </w:t>
      </w:r>
      <w:r>
        <w:rPr>
          <w:rFonts w:ascii="Times New Roman" w:hAnsi="Times New Roman"/>
          <w:i/>
          <w:color w:val="000000"/>
          <w:sz w:val="16"/>
        </w:rPr>
        <w:t>and $81.5</w:t>
      </w:r>
      <w:r>
        <w:rPr>
          <w:rFonts w:ascii="Times New Roman" w:hAnsi="Times New Roman"/>
          <w:color w:val="000000"/>
          <w:sz w:val="20"/>
        </w:rPr>
        <w:t xml:space="preserve"> </w:t>
      </w:r>
      <w:r>
        <w:rPr>
          <w:rFonts w:ascii="Times New Roman" w:hAnsi="Times New Roman"/>
          <w:i/>
          <w:color w:val="000000"/>
          <w:sz w:val="16"/>
        </w:rPr>
        <w:t>million as of December 31, 2025.</w:t>
      </w:r>
    </w:p>
    <w:p>
      <w:pPr>
        <w:pStyle w:val="TextBody"/>
        <w:bidi w:val="0"/>
        <w:spacing w:before="0" w:after="120"/>
        <w:jc w:val="both"/>
        <w:rPr>
          <w:rFonts w:ascii="Times New Roman" w:hAnsi="Times New Roman"/>
          <w:sz w:val="20"/>
        </w:rPr>
      </w:pPr>
      <w:r>
        <w:rPr>
          <w:rFonts w:ascii="Times New Roman" w:hAnsi="Times New Roman"/>
          <w:b/>
          <w:color w:val="000000"/>
          <w:sz w:val="20"/>
        </w:rPr>
        <w:t>Note 11.</w:t>
      </w:r>
      <w:r>
        <w:rPr>
          <w:rFonts w:ascii="Times New Roman" w:hAnsi="Times New Roman"/>
          <w:color w:val="000000"/>
          <w:sz w:val="20"/>
        </w:rPr>
        <w:t xml:space="preserve"> </w:t>
      </w:r>
      <w:r>
        <w:rPr>
          <w:rFonts w:ascii="Times New Roman" w:hAnsi="Times New Roman"/>
          <w:b/>
          <w:color w:val="000000"/>
          <w:sz w:val="20"/>
        </w:rPr>
        <w:t>Subsequent Events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27, 2026, the board of directors of our general partner declared a quarterly cash distribution of $0.7888 per Class A Share for the quarter ended June 30, 2026. The distribution represents an increase of $0.0096 per Class A Share for the second quarter of 2026 as compared with the first quarter of 2026. The distribution will be payable on August 14, 2026, to shareholders of record as of the close of business on August 6, 2026. Simultaneously, the Partnership will make a distribution of $0.7888 per Class B Unit of the Partnership to our Sponsor.</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Management’s Discussion and Analysis of Financial Condition and Results of Operations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Management’s Discussion and Analysis of Financial Condition and Results of Operations should be read in conjunction with the unaudited financial statements and accompanying footnotes included under Item 1. Financial Statements and in conjunction with the audited consolidated financial statements and accompanying footnotes in our Annual Report on Form 10</w:t>
        <w:noBreakHyphen/>
        <w:t>K for the year ended December 31, 2025 (our “2025 Annual Report”).</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Unless otherwise stated or the context otherwise indicates, references in this report to “Hess Midstream LP,” “the Company,” “us,” “our,” “we” or similar terms refer to Hess Midstream LP, including its consolidated subsidiaries. References to “Partnership” refer to Hess Midstream Operations LP. References to “Sponsor” or “Sponsors” refer to (a) Hess Corporation (“Hess”) and GIP II Blue Holding, L.P. (“GIP”) when referring to periods prior to May 30, 2025, (b) Hess from May 30, 2025 to July 17, 2025, and (c) Chevron from July 18, 2025.</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As used in this report,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This discussion contains forward</w:t>
        <w:noBreakHyphen/>
        <w:t>looking statements that involve risks and uncertainties. Our actual results could differ materially from those discussed below. Factors that could cause or contribute to such differences include, but are not limited to, those risk factors discussed in our 2025 Annual Report.</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both"/>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We are a fee-based, growth-oriented, limited partnership that owns, operates, develops and acquires a diverse set of midstream assets and provides fee-based services to our Sponsor, its subsidiaries, and third-party customers. We are managed and controlled by Hess Midstream GP LLC, the general partner of our general partner that is owned by Chevron. Our assets are primarily located in the Bakken and Three Forks shale plays in the Williston Basin area of North Dakota, which we collectively refer to as the Bakken. Our assets and operations are organized into the following three reportable segments: (1) gathering (2) processing and storage and (3) terminaling and export.</w:t>
      </w:r>
    </w:p>
    <w:p>
      <w:pPr>
        <w:pStyle w:val="TextBody"/>
        <w:bidi w:val="0"/>
        <w:spacing w:before="0" w:after="120"/>
        <w:jc w:val="both"/>
        <w:rPr>
          <w:rFonts w:ascii="Times New Roman" w:hAnsi="Times New Roman"/>
          <w:sz w:val="20"/>
        </w:rPr>
      </w:pPr>
      <w:r>
        <w:rPr>
          <w:rFonts w:ascii="Times New Roman" w:hAnsi="Times New Roman"/>
          <w:b/>
          <w:i/>
          <w:color w:val="000000"/>
          <w:sz w:val="20"/>
        </w:rPr>
        <w:t>Operational Highlights.</w:t>
      </w:r>
      <w:r>
        <w:rPr>
          <w:rFonts w:ascii="Times New Roman" w:hAnsi="Times New Roman"/>
          <w:color w:val="000000"/>
          <w:sz w:val="20"/>
        </w:rPr>
        <w:t xml:space="preserve"> In the first quarter of 2026, we placed in service a new compressor station, which provides approximately 50 MMcf/d of installed compression capacity and can be expanded to provide an additional 20 MMcf/d in the future. </w:t>
      </w:r>
    </w:p>
    <w:p>
      <w:pPr>
        <w:pStyle w:val="TextBody"/>
        <w:bidi w:val="0"/>
        <w:spacing w:before="0" w:after="120"/>
        <w:jc w:val="both"/>
        <w:rPr>
          <w:rFonts w:ascii="Times New Roman" w:hAnsi="Times New Roman"/>
          <w:sz w:val="20"/>
        </w:rPr>
      </w:pPr>
      <w:r>
        <w:rPr>
          <w:rFonts w:ascii="Times New Roman" w:hAnsi="Times New Roman"/>
          <w:b/>
          <w:i/>
          <w:color w:val="000000"/>
          <w:sz w:val="20"/>
        </w:rPr>
        <w:t xml:space="preserve">Equity Transactions. </w:t>
      </w:r>
      <w:r>
        <w:rPr>
          <w:rFonts w:ascii="Times New Roman" w:hAnsi="Times New Roman"/>
          <w:color w:val="000000"/>
          <w:sz w:val="20"/>
        </w:rPr>
        <w:t>On March 4, 2026, the Partnership purchased directly from the Sponsor 455,811 Class B units representing limited partner interests in the Partnership (“Class B Units”) for an aggregate purchase price of approximately $18.0 million. The purchase price per Class B Unit was $39.49, the closing price of the Class A shares representing limited partner interests in the Company (the “Class A Shares”) on March 2,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first quarter of 2026, we repurchased $42.0 million of our publicly traded Class A Shares through an accelerated share repurchase (“ASR”) transaction with a financial institution. Under the terms of the ASR, we paid $42.0 million in cash to the financial institution and received 1,065,724 Class A Shares as determined by the average of the daily volume-weighted average prices of Class A Shares during the term of the transaction.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Class B Unit repurchase and the ASR transactions described above were funded using borrowings under the Partnership’s existing revolving credit facility.</w:t>
      </w:r>
    </w:p>
    <w:p>
      <w:pPr>
        <w:pStyle w:val="TextBody"/>
        <w:bidi w:val="0"/>
        <w:spacing w:before="0" w:after="120"/>
        <w:jc w:val="both"/>
        <w:rPr>
          <w:rFonts w:ascii="Times New Roman" w:hAnsi="Times New Roman"/>
          <w:sz w:val="20"/>
        </w:rPr>
      </w:pPr>
      <w:r>
        <w:rPr>
          <w:rFonts w:ascii="Times New Roman" w:hAnsi="Times New Roman"/>
          <w:b/>
          <w:i/>
          <w:color w:val="000000"/>
          <w:sz w:val="20"/>
        </w:rPr>
        <w:t xml:space="preserve">Credit Ratings. </w:t>
      </w:r>
      <w:r>
        <w:rPr>
          <w:rFonts w:ascii="Times New Roman" w:hAnsi="Times New Roman"/>
          <w:color w:val="000000"/>
          <w:sz w:val="20"/>
        </w:rPr>
        <w:t xml:space="preserve">At June 30, 2026, the Partnership’s senior unsecured debt is rated ‘BBB-’ by S&amp;P Global Ratings and ‘Ba1’ by Moody’s Investors Service.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Second Quarter Results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financial and operating highlights for the second quarter of 2026 included: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Consolidated net income of $173.7 million;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income attributable to Hess Midstream LP after deduction for noncontrolling interest of $96.4 million, or $0.75 basic earnings per Class A Share;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provided by operating activities of $278.6 million;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Adjusted EBITDA of $313.7 million;</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Cash distribution of $0.7888 per Class A Share declared on July 27, 2026, an increase of $0.0096 per Class A Share for the second quarter of 2026 as compared with the first quarter of 2026.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in the second quarter of 2026 were $399.0 million, down from $414.2 million in the prior</w:t>
        <w:noBreakHyphen/>
        <w:t>year quarter, primarily due to lower throughput volumes, partially offset by higher tariff rates and third-party services. Total operating costs and expenses in the second quarter of 2026 were $145.8 million, down from $154.0 million in the prior-year quarter, primarily due to lower employee costs and lower maintenance expense, partially offset by higher depreciation expense. Income from equity investments in the second quarter of 2026 was $6.1 million, up from $4.0 million in the prior</w:t>
        <w:noBreakHyphen/>
        <w:t>year quarter, primarily due to higher volumes processed at the LM4 plant. Interest expense, net of interest income, in the second quarter of 2026 was $54.5 million, approximately flat compared with $55.4 million in the prior-year quarter. Income tax expense was $31.1 million, up from $29.1 million in the prior-year quarter as a result of changes in income attributable to the Company. As a result, consolidated net income decreased $6.0 million while Adjusted EBITDA decreased $2.3 million for the second quarter of 2026 compared with the second quarter of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Throughput volumes decreased 15% for oil terminaling and 12% for water gathering in the second quarter of 2026 compared with the second quarter of 2025, primarily due to lower production as a result of lower new-well activity. Throughput volumes decreased 4% for gas processing in the second quarter of 2026 compared with the second quarter of 2025, primarily due to planned maintenance at the Tioga Gas Plant.</w:t>
      </w:r>
    </w:p>
    <w:p>
      <w:pPr>
        <w:pStyle w:val="TextBody"/>
        <w:bidi w:val="0"/>
        <w:spacing w:before="0" w:after="120"/>
        <w:jc w:val="both"/>
        <w:rPr>
          <w:rFonts w:ascii="Times New Roman" w:hAnsi="Times New Roman"/>
          <w:sz w:val="20"/>
        </w:rPr>
      </w:pPr>
      <w:r>
        <w:rPr>
          <w:rFonts w:ascii="Times New Roman" w:hAnsi="Times New Roman"/>
          <w:color w:val="000000"/>
          <w:sz w:val="20"/>
        </w:rPr>
        <w:t>For additional discussion of the results of operations at the segment level, see “</w:t>
      </w:r>
      <w:r>
        <w:rPr>
          <w:rFonts w:ascii="Times New Roman" w:hAnsi="Times New Roman"/>
          <w:i/>
          <w:color w:val="000000"/>
          <w:sz w:val="20"/>
        </w:rPr>
        <w:t>Results of Operations</w:t>
      </w:r>
      <w:r>
        <w:rPr>
          <w:rFonts w:ascii="Times New Roman" w:hAnsi="Times New Roman"/>
          <w:color w:val="000000"/>
          <w:sz w:val="20"/>
        </w:rPr>
        <w:t>” below. For additional information regarding Adjusted EBITDA, our non</w:t>
        <w:noBreakHyphen/>
        <w:t>GAAP financial measure, see “</w:t>
      </w:r>
      <w:r>
        <w:rPr>
          <w:rFonts w:ascii="Times New Roman" w:hAnsi="Times New Roman"/>
          <w:i/>
          <w:color w:val="000000"/>
          <w:sz w:val="20"/>
        </w:rPr>
        <w:t>How We Evaluate Our Operations</w:t>
      </w:r>
      <w:r>
        <w:rPr>
          <w:rFonts w:ascii="Times New Roman" w:hAnsi="Times New Roman"/>
          <w:color w:val="000000"/>
          <w:sz w:val="20"/>
        </w:rPr>
        <w:t>” and “</w:t>
      </w:r>
      <w:r>
        <w:rPr>
          <w:rFonts w:ascii="Times New Roman" w:hAnsi="Times New Roman"/>
          <w:i/>
          <w:color w:val="000000"/>
          <w:sz w:val="20"/>
        </w:rPr>
        <w:t>Reconciliation of Non</w:t>
        <w:noBreakHyphen/>
        <w:t>GAAP Financial Measure</w:t>
      </w:r>
      <w:r>
        <w:rPr>
          <w:rFonts w:ascii="Times New Roman" w:hAnsi="Times New Roman"/>
          <w:color w:val="000000"/>
          <w:sz w:val="20"/>
        </w:rPr>
        <w:t>” below.</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How We Generate Revenues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generate substantially all of our revenues by charging fees for gathering, compressing and processing natural gas and fractionating natural gas liquids (“NGLs”); gathering, terminaling, loading and transporting crude oil and NGLs; storing and terminaling propane; and gathering and disposing of produced water. We have entered into long</w:t>
        <w:noBreakHyphen/>
        <w:t>term, fee</w:t>
        <w:noBreakHyphen/>
        <w:t xml:space="preserve">based commercial agreements with Chevron effective January 1, 2014, for oil and gas services agreements, and effective January 1, 2019, for water services agreements.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Except for the water services agreements and except for a certain gathering sub-system, as described below, each of our commercial agreements with Chevron had an initial 10-year term. We exercised our renewal options to extend each of these commercial agreements for one additional 10-year term (“Secondary Term”) effective January 1, 2024, through December 31, 2033. There were no changes to any provisions of the existing commercial agreements as a result of the exercise of the renewal options. For this gathering sub-system, the initial term is 15 years effective January 1, 2014, and the Secondary Term is 5 years. For the water services agreements the initial term is 14 years effective January 1, 2019, and the Secondary Term is 10 years. We have the sole option to renew these remaining agreements for their Secondary Term that is exercisable at a later date. Upon the expiration of the Secondary Term, if any, the agreements will automatically renew for subsequent one-year periods unless terminated by either party no later than 180 days prior to the end of the applicable Secondary Term.</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These agreements include dedications covering substantially all of Chevron’s existing and future owned or controlled production in the Bakken, minimum volume commitments, inflation escalators and fee recalculation mechanisms, all of which are intended to provide us with cash flow stability and growth, as well as downside risk protection. In particular, Chevron’s minimum volume commitments under our commercial agreements provide minimum levels of cash flows and the fee recalculation mechanisms under the agreements allow fees to be adjusted annually to provide us with cash flow stability during the initial term of the agreements. During the Secondary Term of the agreements, the fee recalculation model is replaced by an inflation-based fee structure. See Note 3, </w:t>
      </w:r>
      <w:r>
        <w:rPr>
          <w:rFonts w:ascii="Times New Roman" w:hAnsi="Times New Roman"/>
          <w:i/>
          <w:color w:val="000000"/>
          <w:sz w:val="20"/>
        </w:rPr>
        <w:t>Related Party Transactions</w:t>
      </w:r>
      <w:r>
        <w:rPr>
          <w:rFonts w:ascii="Times New Roman" w:hAnsi="Times New Roman"/>
          <w:color w:val="000000"/>
          <w:sz w:val="20"/>
        </w:rPr>
        <w:t xml:space="preserve"> for additional description of our commercial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revenues also include revenues from (i) third-party volumes contracted directly with us, (ii) third-party volumes contracted with Chevron and delivered to us under the commercial agreements with Chevron described above, and (iii) pass-through third-party rail transportation costs, third-party produced water trucking and disposal costs, electricity fees and certain other third-party fees, for which we recognize revenues in an amount equal to the costs. Together with our Sponsor, we are pursuing strategic relationships with third-party producers and other midstream companies with operations in the Bakken in order to maximize our utilization rates.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How We Evaluate Our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management uses a variety of financial and operating metrics to analyze our operating results and profitability. These metrics include (i) volumes, (ii) operating and maintenance expenses, and (iii) Adjusted EBITDA.</w:t>
      </w:r>
    </w:p>
    <w:p>
      <w:pPr>
        <w:pStyle w:val="TextBody"/>
        <w:bidi w:val="0"/>
        <w:spacing w:before="0" w:after="120"/>
        <w:jc w:val="both"/>
        <w:rPr>
          <w:rFonts w:ascii="Times New Roman" w:hAnsi="Times New Roman"/>
          <w:sz w:val="20"/>
        </w:rPr>
      </w:pPr>
      <w:r>
        <w:rPr>
          <w:rFonts w:ascii="Times New Roman" w:hAnsi="Times New Roman"/>
          <w:b/>
          <w:i/>
          <w:color w:val="000000"/>
          <w:sz w:val="20"/>
        </w:rPr>
        <w:t>Volumes.</w:t>
      </w:r>
      <w:r>
        <w:rPr>
          <w:rFonts w:ascii="Times New Roman" w:hAnsi="Times New Roman"/>
          <w:color w:val="000000"/>
          <w:sz w:val="20"/>
        </w:rPr>
        <w:t xml:space="preserve"> The amount of revenues we generate primarily depends on the volumes of crude oil, natural gas, NGLs and produced water that we handle at our gathering, processing, terminaling, storage facilities and disposal facilities. These volumes are affected primarily by the supply of and demand for crude oil, natural gas and NGLs in the markets served directly or indirectly by our assets, including changes in crude oil prices, which may further affect volumes delivered by Chevron. Although Chevron has committed to minimum volumes under our commercial agreements described above, our results of operations will be impacted by our ability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utilize the remaining uncommitted capacity on, or add additional capacity to, our existing assets, and optimize our existing assets;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identify and execute expansion projects, and capture incremental throughput volumes from Chevron and third parties for these expanded facilities;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increase throughput volumes at our Ramberg Terminal Facility, Tioga Rail Terminal and the Johnson’s Corner Header System by interconnecting with new or existing third</w:t>
        <w:noBreakHyphen/>
        <w:t xml:space="preserve">party gathering pipelines;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increase gas throughput volumes by interconnecting with new or existing third</w:t>
        <w:noBreakHyphen/>
        <w:t>party gathering pipelines.</w:t>
      </w:r>
    </w:p>
    <w:p>
      <w:pPr>
        <w:pStyle w:val="TextBody"/>
        <w:bidi w:val="0"/>
        <w:spacing w:before="0" w:after="120"/>
        <w:jc w:val="both"/>
        <w:rPr>
          <w:rFonts w:ascii="Times New Roman" w:hAnsi="Times New Roman"/>
          <w:sz w:val="20"/>
        </w:rPr>
      </w:pPr>
      <w:r>
        <w:rPr>
          <w:rFonts w:ascii="Times New Roman" w:hAnsi="Times New Roman"/>
          <w:b/>
          <w:i/>
          <w:color w:val="000000"/>
          <w:sz w:val="20"/>
        </w:rPr>
        <w:t>Operating and Maintenance Expenses.</w:t>
      </w:r>
      <w:r>
        <w:rPr>
          <w:rFonts w:ascii="Times New Roman" w:hAnsi="Times New Roman"/>
          <w:color w:val="000000"/>
          <w:sz w:val="20"/>
        </w:rPr>
        <w:t xml:space="preserve"> Our management seeks to maximize the profitability of our operations by effectively managing operating and maintenance expenses. These expenses are comprised primarily of costs charged to us under our omnibus agreement and employee secondment agreement, third</w:t>
        <w:noBreakHyphen/>
        <w:t>party contractor costs, utility costs, insurance premiums, third</w:t>
        <w:noBreakHyphen/>
        <w:t>party service provider costs, related property taxes and other non</w:t>
        <w:noBreakHyphen/>
        <w:t>income taxes and maintenance expenses, such as expenditures to repair, refurbish and replace storage facilities and to maintain equipment reliability, integrity and safety. These expenses generally remain relatively stable across broad ranges of throughput volumes but can fluctuate from period to period depending on the mix of activities performed during that period and the timing of substantial expenses, such as gas plant turnarounds. We seek to manage our maintenance expenditures by scheduling periodic maintenance on our assets in order to minimize significant variability in these expenditures and minimize their impact on our cash flow.</w:t>
      </w:r>
    </w:p>
    <w:p>
      <w:pPr>
        <w:pStyle w:val="TextBody"/>
        <w:bidi w:val="0"/>
        <w:spacing w:before="0" w:after="120"/>
        <w:jc w:val="both"/>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We define “Adjusted EBITDA” as reported net income (loss) before net interest expense, income tax expense (benefit), and depreciation and amortization, as further adjusted to eliminate the impact of certain items that we do not consider indicative of our ongoing operating performance, such as transaction costs, other income and other non</w:t>
        <w:noBreakHyphen/>
        <w:t>cash and non</w:t>
        <w:noBreakHyphen/>
        <w:t>recurring items, if applicable. We use Adjusted EBITDA to analyze our performance and liquidity.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Adjusted EBITDA is a non</w:t>
        <w:noBreakHyphen/>
        <w:t>GAAP supplemental financial measure that management and external users of our consolidated financial statements, such as industry analysts, investors, lenders and rating agencies, may use to assess: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operating performance as compared to other publicly traded companies in the midstream energy industry, without regard to historical cost basis or financing methods;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assets to generate sufficient cash flow to make distributions to our shareholders;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incur and service debt and fund capital expenditures; and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the viability of acquisitions and other capital expenditure projects and the returns on investment of various investment opportunities.</w:t>
      </w:r>
      <w:r>
        <w:rPr>
          <w:color w:val="00000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the presentation of Adjusted EBITDA provides useful information to investors in assessing our financial condition and results of operations. The GAAP measures most directly comparable to Adjusted EBITDA are net income (loss) and net cash provided by (used in) operating activities. Adjusted EBITDA should not be considered as an alternative to GAAP net income (loss), income (loss) from operations, net cash provided by (used in) operating activities or any other measure of financial performance or liquidity presented in accordance with GAAP. Adjusted EBITDA has important limitations as an analytical tool because it excludes some but not all items that affect net income and net cash provided by operating activities. You should not consider Adjusted EBITDA in isolation or as a substitute for analysis of our results as reported under GAAP. Additionally, because Adjusted EBITDA may be defined differently by other companies in our industry, our definition of Adjusted EBITDA may not be comparable to similarly titled measures of other companies, thereby diminishing its utility.</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Results of operations for the three months ended June 30, 2026 and 2025 are presented below (in millions, unless otherwise noted).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98"/>
        <w:gridCol w:w="146"/>
        <w:gridCol w:w="230"/>
        <w:gridCol w:w="626"/>
        <w:gridCol w:w="146"/>
        <w:gridCol w:w="146"/>
        <w:gridCol w:w="340"/>
        <w:gridCol w:w="922"/>
        <w:gridCol w:w="146"/>
        <w:gridCol w:w="146"/>
        <w:gridCol w:w="421"/>
        <w:gridCol w:w="935"/>
        <w:gridCol w:w="146"/>
        <w:gridCol w:w="146"/>
        <w:gridCol w:w="297"/>
        <w:gridCol w:w="742"/>
        <w:gridCol w:w="166"/>
        <w:gridCol w:w="146"/>
        <w:gridCol w:w="447"/>
        <w:gridCol w:w="1216"/>
        <w:gridCol w:w="397"/>
      </w:tblGrid>
      <w:tr>
        <w:trPr/>
        <w:tc>
          <w:tcPr>
            <w:tcW w:w="2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Hess Midstream LP</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w:t>
              <w:br/>
              <w:t xml:space="preserve">   (exclusive of depreciation </w:t>
              <w:br/>
              <w:t>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Net income (loss) attributable to </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gathering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processing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terminaling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NGL loading (MBbl/d)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Water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Million cubic feet per day</w:t>
      </w:r>
    </w:p>
    <w:p>
      <w:pPr>
        <w:pStyle w:val="TextBody"/>
        <w:bidi w:val="0"/>
        <w:jc w:val="left"/>
        <w:rPr>
          <w:rFonts w:ascii="Times New Roman" w:hAnsi="Times New Roman"/>
          <w:sz w:val="20"/>
        </w:rPr>
      </w:pPr>
      <w:r>
        <w:rPr>
          <w:rFonts w:ascii="Times New Roman" w:hAnsi="Times New Roman"/>
          <w:i/>
          <w:color w:val="000000"/>
          <w:sz w:val="11"/>
        </w:rPr>
        <w:t>(2)</w:t>
      </w:r>
      <w:r>
        <w:rPr>
          <w:rFonts w:ascii="Times New Roman" w:hAnsi="Times New Roman"/>
          <w:color w:val="000000"/>
          <w:sz w:val="20"/>
        </w:rPr>
        <w:t xml:space="preserve"> </w:t>
      </w:r>
      <w:r>
        <w:rPr>
          <w:rFonts w:ascii="Times New Roman" w:hAnsi="Times New Roman"/>
          <w:i/>
          <w:color w:val="000000"/>
          <w:sz w:val="16"/>
        </w:rPr>
        <w:t>Thousand barrels per day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8"/>
        <w:gridCol w:w="146"/>
        <w:gridCol w:w="230"/>
        <w:gridCol w:w="626"/>
        <w:gridCol w:w="146"/>
        <w:gridCol w:w="146"/>
        <w:gridCol w:w="340"/>
        <w:gridCol w:w="922"/>
        <w:gridCol w:w="146"/>
        <w:gridCol w:w="146"/>
        <w:gridCol w:w="421"/>
        <w:gridCol w:w="935"/>
        <w:gridCol w:w="146"/>
        <w:gridCol w:w="146"/>
        <w:gridCol w:w="297"/>
        <w:gridCol w:w="742"/>
        <w:gridCol w:w="166"/>
        <w:gridCol w:w="146"/>
        <w:gridCol w:w="447"/>
        <w:gridCol w:w="1216"/>
        <w:gridCol w:w="397"/>
      </w:tblGrid>
      <w:tr>
        <w:trPr/>
        <w:tc>
          <w:tcPr>
            <w:tcW w:w="2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Hess Midstream LP</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w:t>
              <w:br/>
              <w:t xml:space="preserve">   (exclusive of depreciation </w:t>
              <w:br/>
              <w:t>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Net income (loss) attributable to </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gathering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processing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terminaling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NGL loading (MBbl/d)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Water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Million cubic feet per day</w:t>
      </w:r>
    </w:p>
    <w:p>
      <w:pPr>
        <w:pStyle w:val="TextBody"/>
        <w:bidi w:val="0"/>
        <w:jc w:val="left"/>
        <w:rPr>
          <w:rFonts w:ascii="Times New Roman" w:hAnsi="Times New Roman"/>
          <w:sz w:val="20"/>
        </w:rPr>
      </w:pPr>
      <w:r>
        <w:rPr>
          <w:rFonts w:ascii="Times New Roman" w:hAnsi="Times New Roman"/>
          <w:i/>
          <w:color w:val="000000"/>
          <w:sz w:val="11"/>
        </w:rPr>
        <w:t>(2)</w:t>
      </w:r>
      <w:r>
        <w:rPr>
          <w:rFonts w:ascii="Times New Roman" w:hAnsi="Times New Roman"/>
          <w:color w:val="000000"/>
          <w:sz w:val="20"/>
        </w:rPr>
        <w:t xml:space="preserve"> </w:t>
      </w:r>
      <w:r>
        <w:rPr>
          <w:rFonts w:ascii="Times New Roman" w:hAnsi="Times New Roman"/>
          <w:i/>
          <w:color w:val="000000"/>
          <w:sz w:val="16"/>
        </w:rPr>
        <w:t>Thousand barrels per day</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Gathering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decreased $12.6 million in the second quarter of 2026 compared to the second quarter of 2025, of which, $16.0 million is attributable to lower gas gathering physical volumes delivered by Chevron, $6.7 million is attributable to lower crude oil gathering physical volumes delivered by Chevron and $2.3 million is attributable to lower water gathering and disposal revenue. These decreases are partially offset by $4.9 million attributable to higher tariff rates, $3.5 million attributable to services provided directly to third parties, $2.7 million attributable to higher MVC revenue recognized in the second quarter of 2026 and $1.3 million attributable to higher pass</w:t>
        <w:noBreakHyphen/>
        <w:t xml:space="preserve">through revenue.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and maintenance expenses (exclusive of depreciation) decreased $4.3 million, of which $5.6 million is attributable to lower employee costs charged to us under our omnibus and employee secondment agreements, partially offset by $1.3 million attributable to higher pass-through costs, including produced water trucking and disposal and electricity fees. Depreciation expense increased $3.9 million due to new gathering assets brought into service.</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Processing and Storage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decreased $6.6 million in the second quarter of 2026 compared to the second quarter of 2025, of which $16.0 million is attributable to lower gas processing physical volumes delivered by Chevron, partially offset by $5.2 million attributable to services provided directly to third parties, $3.9 million attributable to higher tariff rates and $0.3 million attributable to higher pass</w:t>
        <w:noBreakHyphen/>
        <w:t>through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and maintenance expenses (exclusive of depreciation) decreased $2.6 million primarily due to lower maintenance activity.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Income from equity investments increased $2.1 million in the second quarter of 2026 compared to the second quarter of 2025 primarily due to higher volumes processed at the LM4 plant.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Terminaling and Export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increased $4.0 million in the second quarter of 2026 compared to the second quarter of 2025, of which $7.0 million is attributable to higher tariff rates, $0.6 million is attributable to higher MVC revenue and another $0.6 million is attributable to services provided directly to third parties. These increases were partially offset by $4.2 million attributable to lower physical volumes delivered by Chevron.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and maintenance expenses (exclusive of depreciation) remained relatively flat in the second quarter of 2026 compared to the second quarter of 2025.</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Interest and Other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expense, net of interest income, remained relatively flat in the second quarter of 2026 compared to the second quarter of 2025. Income tax expense increased $2.0 million in the second quarter of 2026 compared to the second quarter of 2025 as a result of changes in income attributable to the Company.</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Results of operations for the six months ended June 30, 2026 and 2025 are presented below (in millions, unless otherwise noted).</w:t>
      </w:r>
    </w:p>
    <w:tbl>
      <w:tblPr>
        <w:tblW w:w="10205" w:type="dxa"/>
        <w:jc w:val="left"/>
        <w:tblInd w:w="0" w:type="dxa"/>
        <w:tblLayout w:type="fixed"/>
        <w:tblCellMar>
          <w:top w:w="28" w:type="dxa"/>
          <w:left w:w="28" w:type="dxa"/>
          <w:bottom w:w="28" w:type="dxa"/>
          <w:right w:w="28" w:type="dxa"/>
        </w:tblCellMar>
      </w:tblPr>
      <w:tblGrid>
        <w:gridCol w:w="2278"/>
        <w:gridCol w:w="146"/>
        <w:gridCol w:w="230"/>
        <w:gridCol w:w="626"/>
        <w:gridCol w:w="146"/>
        <w:gridCol w:w="146"/>
        <w:gridCol w:w="337"/>
        <w:gridCol w:w="915"/>
        <w:gridCol w:w="146"/>
        <w:gridCol w:w="146"/>
        <w:gridCol w:w="419"/>
        <w:gridCol w:w="929"/>
        <w:gridCol w:w="146"/>
        <w:gridCol w:w="146"/>
        <w:gridCol w:w="273"/>
        <w:gridCol w:w="820"/>
        <w:gridCol w:w="166"/>
        <w:gridCol w:w="146"/>
        <w:gridCol w:w="443"/>
        <w:gridCol w:w="1205"/>
        <w:gridCol w:w="396"/>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Hess Midstream LP</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w:t>
              <w:br/>
              <w:t xml:space="preserve">   (exclusive of depreciation </w:t>
              <w:br/>
              <w:t>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Net income (loss) attributable to </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gathering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processing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terminaling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NGL loading (MBbl/d)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Water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Million cubic feet per day</w:t>
      </w:r>
    </w:p>
    <w:p>
      <w:pPr>
        <w:pStyle w:val="TextBody"/>
        <w:bidi w:val="0"/>
        <w:jc w:val="left"/>
        <w:rPr>
          <w:rFonts w:ascii="Times New Roman" w:hAnsi="Times New Roman"/>
          <w:sz w:val="20"/>
        </w:rPr>
      </w:pPr>
      <w:r>
        <w:rPr>
          <w:rFonts w:ascii="Times New Roman" w:hAnsi="Times New Roman"/>
          <w:i/>
          <w:color w:val="000000"/>
          <w:sz w:val="11"/>
        </w:rPr>
        <w:t>(2)</w:t>
      </w:r>
      <w:r>
        <w:rPr>
          <w:rFonts w:ascii="Times New Roman" w:hAnsi="Times New Roman"/>
          <w:color w:val="000000"/>
          <w:sz w:val="20"/>
        </w:rPr>
        <w:t xml:space="preserve"> </w:t>
      </w:r>
      <w:r>
        <w:rPr>
          <w:rFonts w:ascii="Times New Roman" w:hAnsi="Times New Roman"/>
          <w:i/>
          <w:color w:val="000000"/>
          <w:sz w:val="16"/>
        </w:rPr>
        <w:t>Thousand barrels per day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8"/>
        <w:gridCol w:w="146"/>
        <w:gridCol w:w="230"/>
        <w:gridCol w:w="626"/>
        <w:gridCol w:w="146"/>
        <w:gridCol w:w="146"/>
        <w:gridCol w:w="337"/>
        <w:gridCol w:w="915"/>
        <w:gridCol w:w="146"/>
        <w:gridCol w:w="146"/>
        <w:gridCol w:w="419"/>
        <w:gridCol w:w="929"/>
        <w:gridCol w:w="146"/>
        <w:gridCol w:w="146"/>
        <w:gridCol w:w="273"/>
        <w:gridCol w:w="820"/>
        <w:gridCol w:w="166"/>
        <w:gridCol w:w="146"/>
        <w:gridCol w:w="443"/>
        <w:gridCol w:w="1205"/>
        <w:gridCol w:w="396"/>
      </w:tblGrid>
      <w:tr>
        <w:trPr/>
        <w:tc>
          <w:tcPr>
            <w:tcW w:w="2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Hess Midstream LP</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779.6</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w:t>
              <w:br/>
              <w:t xml:space="preserve">   (exclusive of depreciation </w:t>
              <w:br/>
              <w:t>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Net income (loss) attributable to </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gathering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processing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terminaling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NGL loading (MBbl/d)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Water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Million cubic feet per day</w:t>
      </w:r>
    </w:p>
    <w:p>
      <w:pPr>
        <w:pStyle w:val="TextBody"/>
        <w:bidi w:val="0"/>
        <w:jc w:val="left"/>
        <w:rPr>
          <w:rFonts w:ascii="Times New Roman" w:hAnsi="Times New Roman"/>
          <w:sz w:val="20"/>
        </w:rPr>
      </w:pPr>
      <w:r>
        <w:rPr>
          <w:rFonts w:ascii="Times New Roman" w:hAnsi="Times New Roman"/>
          <w:i/>
          <w:color w:val="000000"/>
          <w:sz w:val="11"/>
        </w:rPr>
        <w:t>(2)</w:t>
      </w:r>
      <w:r>
        <w:rPr>
          <w:rFonts w:ascii="Times New Roman" w:hAnsi="Times New Roman"/>
          <w:color w:val="000000"/>
          <w:sz w:val="20"/>
        </w:rPr>
        <w:t xml:space="preserve"> </w:t>
      </w:r>
      <w:r>
        <w:rPr>
          <w:rFonts w:ascii="Times New Roman" w:hAnsi="Times New Roman"/>
          <w:i/>
          <w:color w:val="000000"/>
          <w:sz w:val="16"/>
        </w:rPr>
        <w:t>Thousand barrels per day</w:t>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Gathering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decreased $12.1 million in the first six months of 2026 compared to the first six months of 2025, of which $22.8 million is attributable to lower gas gathering physical volumes delivered by Chevron, $8.5 million is attributable to lower crude oil gathering physical volumes delivered by Chevron and $3.7 million is attributable to lower water gathering and disposal revenue. These decreases are partially offset by $8.8 million attributable to higher tariff rates, $6.5 million attributable to services provided directly to third parties, $6.2 million attributable to higher pass</w:t>
        <w:noBreakHyphen/>
        <w:t>through revenue and $1.4 million attributable to higher MVC revenue recognized in the first six months of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and maintenance expenses (exclusive of depreciation) decreased $5.0 million, of which $10.6 million is attributable to lower employee costs charged to us under our omnibus and employee secondment agreements and $4.6 million is attributable to lower maintenance activity. These decreases are partially offset by $6.2 million attributable to higher pass</w:t>
        <w:noBreakHyphen/>
        <w:t>through costs, including produced water trucking and disposal and electricity fees and $4.0 million attributable to all other costs. Depreciation expense increased $9.2 million due to new gathering assets brought into service.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Processing and Storage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decreased $6.0 million in the first six months of 2026 compared to the first six months of 2025, of which $24.3 million is attributable to lower gas processing physical volumes delivered by Chevron, partially offset by $10.0 million attributable to services provided directly to third parties, $7.8 million attributable to higher tariff rates and $0.5 million attributable to higher pass</w:t>
        <w:noBreakHyphen/>
        <w:t>through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Operating and maintenance expenses (exclusive of depreciation) decreased $1.0 million, of which $3.7 million is attributable to lower maintenance activity and $1.3 million is attributable to lower employee costs charged to us under our omnibus and employee secondment agreements, partially offset by $4.0 million attributable to higher third-party processing and offload fees.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Income from equity investments increased $1.9 million in in the first six months of 2026 compared to the first six months of 2025 primarily due to higher volumes processed at the LM4 plant.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Terminaling and Export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increased $11.0 million in the first six months of 2026 compared to the first six months of 2025, of which $14.2 million is attributable to higher tariff rates, $1.1 million is attributable to higher MVC revenue and $1.0 million is attributable to services provided directly to third parties, partially offset by $5.3 million attributable to lower physical volumes delivered by Chevron.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and maintenance expenses (exclusive of depreciation) decreased $2.2 million primarily due to lower employee costs charged to us under our omnibus and employee secondment agreements.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Interest and Other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expense, net of interest income, decreased $1.9 million in the first six months of 2026 compared to the first six months of 2025, of which $2.8 million is attributable to lower interest on our senior unsecured notes and $2.0 million is attributable to extinguishment loss, each related to the early redemption of $800.0 million 5.625% fixed-rate senior unsecured notes in the prior year, partially offset by $1.5 million attributable to higher interest on higher borrowings under our Credit Facilities and $1.4 million attributable to lower interest income.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Income tax expense increased $7.2 million in the first six months of 2026 compared to the first six months of 2025 as a result of changes in income attributable to the Company.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Other Factors Expected to Significantly Affect Our Future Results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generate substantially all of our revenues under fee</w:t>
        <w:noBreakHyphen/>
        <w:t xml:space="preserve">based commercial agreements with Chevron, including third parties contracted with affiliates of Chevron. These contracts provide cash flow stability and minimize our direct exposure to commodity price fluctuations, since we generally do not own any of the crude oil, natural gas, or NGLs that we handle and do not engage in the trading of crude oil, natural gas, or NGLs. However, commodity price fluctuations indirectly influence our activities and results of operations over the long-term, since they can affect production rates and investments by our Sponsor and third parties in the development of new crude oil and natural gas reserves. The markets for oil and natural gas are volatile and will likely continue to be volatile in the future.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throughput volumes at our facilities depend primarily on the volumes of crude oil and natural gas produced by our Sponsor and third parties in the Bakken, which, in turn, are ultimately dependent on our Sponsor’s and third parties’ exploration and production margins. Exploration and production margins depend on the price of crude oil, natural gas, and NGLs. These prices are volatile and influenced by numerous factors beyond our or our customers’ control, including the domestic and global supply of and demand for crude oil, natural gas and NGLs. Sustained periods of low prices for oil and natural gas could materially and adversely affect the quantities of oil and natural gas that our Sponsor and third parties can economically produce. The commodities trading markets, as well as global and regional supply and demand factors, may also influence the selling prices of crude oil, natural gas and NGLs. To the extent our plans include revenues for volumes above currently established MVC levels, such revenues could decline to the MVC levels as a result of market volatility. Furthermore, our ability to execute our growth strategy in the Bakken, including attracting third-party volumes, will depend on crude oil and natural gas production in that area, which is also affected by the supply of and demand for crude oil and natural gas.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majority of our systems entered the Secondary Term of our commercial agreements, which includes a fixed fee structure based on the average fees paid by Chevron during 2021-2023 adjusted annually for inflation up to 3% a year. Such a fee structure may provide less downside risk protection in the future compared to the fee structure we had during the Initial Term of the commercial agreements. For our terminaling and water gathering systems, the rates will continue to be reset through our annual rate redetermination process through 2033. For all of our systems, MVCs will continue to provide downside risk protection through 2033.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Reconciliation of Non</w:t>
        <w:noBreakHyphen/>
        <w:t>GAAP Financial Measure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presents a reconciliation of Adjusted EBITDA to net income and net cash provided by operating activities, the most directly comparable GAAP financial measures, for each of the periods indicated.</w:t>
      </w:r>
    </w:p>
    <w:tbl>
      <w:tblPr>
        <w:tblW w:w="9390" w:type="dxa"/>
        <w:jc w:val="left"/>
        <w:tblInd w:w="0" w:type="dxa"/>
        <w:tblLayout w:type="fixed"/>
        <w:tblCellMar>
          <w:top w:w="28" w:type="dxa"/>
          <w:left w:w="28" w:type="dxa"/>
          <w:bottom w:w="28" w:type="dxa"/>
          <w:right w:w="28" w:type="dxa"/>
        </w:tblCellMar>
      </w:tblPr>
      <w:tblGrid>
        <w:gridCol w:w="4291"/>
        <w:gridCol w:w="146"/>
        <w:gridCol w:w="254"/>
        <w:gridCol w:w="689"/>
        <w:gridCol w:w="200"/>
        <w:gridCol w:w="176"/>
        <w:gridCol w:w="254"/>
        <w:gridCol w:w="689"/>
        <w:gridCol w:w="166"/>
        <w:gridCol w:w="146"/>
        <w:gridCol w:w="232"/>
        <w:gridCol w:w="630"/>
        <w:gridCol w:w="183"/>
        <w:gridCol w:w="161"/>
        <w:gridCol w:w="232"/>
        <w:gridCol w:w="630"/>
        <w:gridCol w:w="3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Adjusted EBITDA 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2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1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Adjusted EBITDA to net cash </w:t>
              <w:br/>
              <w:t>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Distribution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8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2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w:t>
            </w:r>
          </w:p>
        </w:tc>
        <w:tc>
          <w:tcPr>
            <w:tcW w:w="18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2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Capital Resources and Liquidity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our ongoing sources of liquidity to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on hand;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generated from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borrowings under our revolving credit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issuances of additional debt securities;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issuances of additional equity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believe that cash generated from these sources will be sufficient to meet our operating requirements, our planned short</w:t>
        <w:noBreakHyphen/>
        <w:t xml:space="preserve">term capital expenditures, debt service requirements, our quarterly cash distribution requirements, future internal growth projects or potential acquisitions.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Our partnership agreement requires that we distribute all of our available cash to shareholders. For information related to the Company’s distributions, see Note 6, </w:t>
      </w:r>
      <w:r>
        <w:rPr>
          <w:rFonts w:ascii="Times New Roman" w:hAnsi="Times New Roman"/>
          <w:i/>
          <w:color w:val="000000"/>
          <w:sz w:val="20"/>
        </w:rPr>
        <w:t xml:space="preserve">Partners’ Capital and Distributions </w:t>
      </w:r>
      <w:r>
        <w:rPr>
          <w:rFonts w:ascii="Times New Roman" w:hAnsi="Times New Roman"/>
          <w:color w:val="000000"/>
          <w:sz w:val="20"/>
        </w:rPr>
        <w:t xml:space="preserve">and Note 11, </w:t>
      </w:r>
      <w:r>
        <w:rPr>
          <w:rFonts w:ascii="Times New Roman" w:hAnsi="Times New Roman"/>
          <w:i/>
          <w:color w:val="000000"/>
          <w:sz w:val="20"/>
        </w:rPr>
        <w:t xml:space="preserve">Subsequent Events </w:t>
      </w:r>
      <w:r>
        <w:rPr>
          <w:rFonts w:ascii="Times New Roman" w:hAnsi="Times New Roman"/>
          <w:color w:val="000000"/>
          <w:sz w:val="20"/>
        </w:rPr>
        <w:t>in the Notes to Consolidated Financial Statements</w:t>
      </w:r>
      <w:r>
        <w:rPr>
          <w:rFonts w:ascii="Times New Roman" w:hAnsi="Times New Roman"/>
          <w:i/>
          <w:color w:val="000000"/>
          <w:sz w:val="20"/>
        </w:rPr>
        <w: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Fixed</w:t>
        <w:noBreakHyphen/>
        <w:t>Rate Senior Notes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For information related to the Company's fixed-rate senior notes, see Note 5, </w:t>
      </w:r>
      <w:r>
        <w:rPr>
          <w:rFonts w:ascii="Times New Roman" w:hAnsi="Times New Roman"/>
          <w:i/>
          <w:color w:val="000000"/>
          <w:sz w:val="20"/>
        </w:rPr>
        <w:t xml:space="preserve">Debt and Interest Expense </w:t>
      </w:r>
      <w:r>
        <w:rPr>
          <w:rFonts w:ascii="Times New Roman" w:hAnsi="Times New Roman"/>
          <w:color w:val="000000"/>
          <w:sz w:val="20"/>
        </w:rPr>
        <w:t>in the Notes to Consolidated Financial Statements</w:t>
      </w:r>
      <w:r>
        <w:rPr>
          <w:rFonts w:ascii="Times New Roman" w:hAnsi="Times New Roman"/>
          <w:i/>
          <w:color w:val="000000"/>
          <w:sz w:val="20"/>
        </w:rPr>
        <w: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For information related to the Company's Credit Facilities, see Note 5, </w:t>
      </w:r>
      <w:r>
        <w:rPr>
          <w:rFonts w:ascii="Times New Roman" w:hAnsi="Times New Roman"/>
          <w:i/>
          <w:color w:val="000000"/>
          <w:sz w:val="20"/>
        </w:rPr>
        <w:t xml:space="preserve">Debt and Interest Expense </w:t>
      </w:r>
      <w:r>
        <w:rPr>
          <w:rFonts w:ascii="Times New Roman" w:hAnsi="Times New Roman"/>
          <w:color w:val="000000"/>
          <w:sz w:val="20"/>
        </w:rPr>
        <w:t>in the Notes to Consolidated Financial Statements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i/>
          <w:color w:val="000000"/>
          <w:sz w:val="20"/>
        </w:rPr>
        <w:t xml:space="preserve">Operating Activities. </w:t>
      </w:r>
      <w:r>
        <w:rPr>
          <w:rFonts w:ascii="Times New Roman" w:hAnsi="Times New Roman"/>
          <w:color w:val="000000"/>
          <w:sz w:val="20"/>
        </w:rPr>
        <w:t>Net cash provided by operating activities increased $52.6 million for the six months ended June 30, 2026, compared to the same period in 2025, primarily due to an increase in cash provided by changes in working capital of $51.7 million and a decrease in expenses, other than depreciation, amortization, equity-based compensation and other non-cash gains and losses of $10.0 million, partially offset by a decrease in revenues and other income of $7.1 million and a decrease in distributions received from equity investments of $2.0 million.</w:t>
      </w:r>
    </w:p>
    <w:p>
      <w:pPr>
        <w:pStyle w:val="TextBody"/>
        <w:bidi w:val="0"/>
        <w:spacing w:before="0" w:after="120"/>
        <w:jc w:val="both"/>
        <w:rPr>
          <w:rFonts w:ascii="Times New Roman" w:hAnsi="Times New Roman"/>
          <w:sz w:val="20"/>
        </w:rPr>
      </w:pPr>
      <w:r>
        <w:rPr>
          <w:rFonts w:ascii="Times New Roman" w:hAnsi="Times New Roman"/>
          <w:i/>
          <w:color w:val="000000"/>
          <w:sz w:val="20"/>
        </w:rPr>
        <w:t xml:space="preserve">Investing Activities. </w:t>
      </w:r>
      <w:r>
        <w:rPr>
          <w:rFonts w:ascii="Times New Roman" w:hAnsi="Times New Roman"/>
          <w:color w:val="000000"/>
          <w:sz w:val="20"/>
        </w:rPr>
        <w:t>Net cash used in investing activities decreased $57.0 million for the six months ended June 30, 2026, compared to the same period in 2025, primarily driven by completion of our multi-year projects for expansion of compression capacity and the timing of payments for additions to property, plant, and equipment related to ongoing capital projects.</w:t>
      </w:r>
    </w:p>
    <w:p>
      <w:pPr>
        <w:pStyle w:val="TextBody"/>
        <w:bidi w:val="0"/>
        <w:spacing w:before="0" w:after="120"/>
        <w:jc w:val="both"/>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Net cash used in financing activities increased $106.7 million for the six months ended June 30, 2026, compared to the same period in 2025. In the first six months of 2026, net repayments of our revolving credit facility balances were $82.0 million compared to $258.0 million of borrowings in the first six months of 2025, and repayments of the term loan were $15.0 million compared to $10.0 million, respectively. The prior period also included impacts of refinancing of senior unsecured notes of $12.5 million. In addition, in the first six months of 2026, we spent $241.0 million less for share and unit repurchases and paid higher distributions to shareholders and noncontrolling interests of $15.2 million compared to the same period in 2025.</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Capital Expenditures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operations can be capital intensive, requiring investments to expand, upgrade, maintain or enhance existing operations and to meet environmental and operational regulations.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a summary of capital expenditures and reconciles capital expenditures on an accrual basis to additions to property, plant and equipment on a cash basis:</w:t>
      </w:r>
    </w:p>
    <w:tbl>
      <w:tblPr>
        <w:tblW w:w="6930" w:type="dxa"/>
        <w:jc w:val="left"/>
        <w:tblInd w:w="0" w:type="dxa"/>
        <w:tblLayout w:type="fixed"/>
        <w:tblCellMar>
          <w:top w:w="28" w:type="dxa"/>
          <w:left w:w="28" w:type="dxa"/>
          <w:bottom w:w="28" w:type="dxa"/>
          <w:right w:w="28" w:type="dxa"/>
        </w:tblCellMar>
      </w:tblPr>
      <w:tblGrid>
        <w:gridCol w:w="4451"/>
        <w:gridCol w:w="249"/>
        <w:gridCol w:w="551"/>
        <w:gridCol w:w="172"/>
        <w:gridCol w:w="172"/>
        <w:gridCol w:w="249"/>
        <w:gridCol w:w="675"/>
        <w:gridCol w:w="411"/>
      </w:tblGrid>
      <w:tr>
        <w:trPr/>
        <w:tc>
          <w:tcPr>
            <w:tcW w:w="44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decrease in accrued capital expenditures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(Increase) decrease in capital expenditures included </w:t>
              <w:br/>
              <w:t>   in accounts payable - affiliate</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property, plant and equipment</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Capital expenditures in 2026 primarily relate to ongoing gathering system well connects to service Chevron and third-party customers, with the remainder attributable to completion of the compression and gathering pipeline buildout. Capital expenditures in 2025 were attributable to our multi-year expansion of compression capacity and focused on construction of two new compressor stations and associated pipeline infrastructure.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Cautionary Note Regarding 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This Quarterly Report on Form 10-Q, including information incorporated by reference herein, contains “forward-looking statements.” Words such as “anticipate,” “estimate,” “expect,” “forecast,” “guidance,” “drive,” “could,” “may,” “should,” “would,” “enable,” “believe,” “intend,” “focus,” “potential,” “project,” “plan,” “trend,” “predict,” “will,” “target,” “opportunity” and similar expressions, and variations or negatives of these words, are intended to identify forward-looking statements, but not all forward-looking statements include such words.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Forward-looking statements relating to the Company’s operations, assets, and strategy are based on management’s current expectations, assessments, estimates, projections and assumptions about the industry. These statements are not guarantees of future performance and are subject to numerous risks, uncertainties and other factors, many of which are beyond the Company’s control and difficult to predict. Therefore, actual outcomes and results may differ materially from our current projections or expectations of future results expressed or forecasted by these forward-looking statements. Among the important factors that could cause actual results to differ materially from those in our forward-looking statements 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ability of Chevron and other parties to satisfy their obligations to us, including Chevron’s ability to meet its drilling and development plans on a timely basis or at all, its ability to deliver its nominated volumes to us, and the operation of joint ventures that we may not control;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generate sufficient cash flow to pay current and expected levels of distributions;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reductions in the volumes of crude oil, natural gas, NGLs and produced water we gather, process, terminal or store;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actual volumes we gather, process, terminal or store for Chevron in excess of our MVCs and relative to Chevron’s nominations;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fluctuations in the prices and demand for crude oil, natural gas and NGLs;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global economic conditions and the effects of a global economic downturn or inflation on our business and the businesses of our suppliers, customers, business partners and lenders;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comply with government regulations or make capital expenditures required to maintain compliance, including our ability to obtain or maintain permits necessary for capital projects in a timely manner, if at all, or the revocation or modification of existing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successfully identify, evaluate and timely execute our capital projects, investment opportunities and growth strategies, whether through organic growth or acquisitions;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or liabilities associated with federal, state and local laws, regulations and governmental actions applicable to our business, including legislation and regulatory initiatives relating to environmental protection and health and safety, such as spills, releases, pipeline integrity and measures to limit greenhouse gas emissions and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comply with the terms of our credit facility, indebtedness and other financing arrangements, which, if accelerated, we may not be able to repay;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reduced demand for our midstream services, including the impact of weather or the availability of competing third-party midstream gathering, processing and transportation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potential disruption or interruption of our business due to natural and human causes beyond our control, such as accidents, severe weather events, labor disputes, political crises, information technology failures, constraints or disruptions and cyber-attacks;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limitations on our ability to access debt or capital markets on terms that we deem acceptable, including as a result of changes in credit ratings, weakness in the oil and gas industry or negative outcomes within commodity and financial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liability resulting from litigation;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and uncertainties associated with Hess’ integration with Chevron following the completion of the merger, including the failure of Chevron to realize anticipated synergies of the merger in the expected timeframe, operational challenges, the diversion of management’s attention from ongoing business concerns, or unforeseen expenses associated with the merger; and</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 xml:space="preserve">other factors described in </w:t>
      </w:r>
      <w:r>
        <w:rPr>
          <w:rFonts w:ascii="Times New Roman" w:hAnsi="Times New Roman"/>
          <w:i/>
          <w:color w:val="000000"/>
          <w:sz w:val="20"/>
        </w:rPr>
        <w:t>Item 1A — Risk Factors</w:t>
      </w:r>
      <w:r>
        <w:rPr>
          <w:color w:val="000000"/>
        </w:rPr>
        <w:t xml:space="preserve"> </w:t>
      </w:r>
      <w:r>
        <w:rPr>
          <w:rFonts w:ascii="Times New Roman" w:hAnsi="Times New Roman"/>
          <w:color w:val="000000"/>
          <w:sz w:val="20"/>
        </w:rPr>
        <w:t>in our 2025 Annual Report and any additional risks described in our other filings with the Securities and Exchange Commission.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unpredictable or unknown factors not discussed in this report could also cause actual results to differ materially from those in our forward-looking statements. Caution should be taken not to place undue reliance on any such forward-looking statements since such statements speak only as of the date of this report. Except as required by law, we undertake no obligation to publicly update or revise any forward-looking statements, whether because of new information, future events or otherwise.</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Disclosures about Market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Market risk is the risk of loss arising from adverse changes in market rates and prices. We generally do not take ownership of the crude oil, natural gas or NGLs that we currently gather, process, terminal, store or transport for our customers. Because we generate substantially all of our revenues by charging fees under long-term commercial agreements with Chevron with minimum volume commitments, our Sponsor bears the risks associated with fluctuating commodity prices and we have minimal direct exposure to commodity prices.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normal course of our business, we are exposed to market risks related to changes in interest rates. Our financial risk management activities may include transactions designed to reduce risk by reducing our exposure to interest rate movements. Interest rate swaps may be used to convert interest payments on certain long</w:t>
        <w:noBreakHyphen/>
        <w:t>term debt. At June 30, 2026, we did not have in place any derivative instruments to hedge any exposure to changes in interest rates.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June 30, 2026, our total debt had a carrying value of $3,680.0 million and a fair value of approximately $3,694.8 million, based on Level 2 inputs in the fair value measurement hierarchy. A 15% increase or decrease in interest rates would decrease or increase the fair value of our fixed rate debt by approximately $62.6 million or $49.3 million, respectively. The carrying value of the amounts under our Term Loan A facility and revolving credit facility at the quarter-end approximated their fair value. Any changes in interest rates do not impact cash outflows associated with fixed rate interest payments or settlement of debt principal, unless a debt instrument is repurchased prior to maturity. Our exposure to market risk related to changes in interest rates has not materially changed from what we previously disclosed in our 2025 Annual Report.</w:t>
      </w:r>
    </w:p>
    <w:p>
      <w:pPr>
        <w:pStyle w:val="TextBody"/>
        <w:bidi w:val="0"/>
        <w:spacing w:before="0" w:after="120"/>
        <w:jc w:val="both"/>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upon their evaluation of the Company’s disclosure controls and procedures (as defined in Rules 13a</w:t>
        <w:noBreakHyphen/>
        <w:t>15(e) and 15d</w:t>
        <w:noBreakHyphen/>
        <w:t>15(e) of the Securities Exchange Act of 1934, as amended (the “Exchange Act”)) as of June 30, 2026, Jonathan C. Stein, Chief Executive Officer, and Michael J. Chadwick, Chief Financial Officer, concluded that these disclosure controls and procedures were effective as of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was no change in internal control over financial reporting, as defined in Rules 13a</w:t>
        <w:noBreakHyphen/>
        <w:t>15(f) and 15d</w:t>
        <w:noBreakHyphen/>
        <w:t xml:space="preserve">15(f) under the Exchange Act, in the quarter ended June 30, 2026 that has materially affected, or is reasonably likely to materially affect, the Company’s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II – OTHER INFORMATION</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Information regarding legal proceedings is contained in Note 9, </w:t>
      </w:r>
      <w:r>
        <w:rPr>
          <w:rFonts w:ascii="Times New Roman" w:hAnsi="Times New Roman"/>
          <w:i/>
          <w:color w:val="000000"/>
          <w:sz w:val="20"/>
        </w:rPr>
        <w:t>Commitments and Contingencies</w:t>
      </w:r>
      <w:r>
        <w:rPr>
          <w:rFonts w:ascii="Times New Roman" w:hAnsi="Times New Roman"/>
          <w:color w:val="000000"/>
          <w:sz w:val="20"/>
        </w:rPr>
        <w:t xml:space="preserve"> in the Notes to Consolidated Financial Statements and is incorporated herein by reference. Pursuant to Item 103(c)(3)(iii) of Regulation S-K under the Exchange Act, we are required to disclose certain information about environmental proceedings to which a governmental authority is a party if we reasonably believe such proceedings may result in monetary sanctions, exclusive of interest and costs, above a stated threshold. We have elected to apply a threshold of $1 million for purposes of determining whether disclosure of any such proceedings is required.</w:t>
      </w:r>
    </w:p>
    <w:p>
      <w:pPr>
        <w:pStyle w:val="TextBody"/>
        <w:bidi w:val="0"/>
        <w:spacing w:before="0" w:after="120"/>
        <w:jc w:val="both"/>
        <w:rPr>
          <w:rFonts w:ascii="Times New Roman" w:hAnsi="Times New Roman"/>
          <w:sz w:val="20"/>
        </w:rPr>
      </w:pPr>
      <w:bookmarkStart w:id="12" w:name="riskfactors"/>
      <w:bookmarkEnd w:id="12"/>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Part I, Item 1A. </w:t>
      </w:r>
      <w:r>
        <w:rPr>
          <w:rFonts w:ascii="Times New Roman" w:hAnsi="Times New Roman"/>
          <w:i/>
          <w:color w:val="000000"/>
          <w:sz w:val="20"/>
        </w:rPr>
        <w:t>Risk Factors</w:t>
      </w:r>
      <w:r>
        <w:rPr>
          <w:rFonts w:ascii="Times New Roman" w:hAnsi="Times New Roman"/>
          <w:color w:val="000000"/>
          <w:sz w:val="20"/>
        </w:rPr>
        <w:t xml:space="preserve"> in our 2025 Annual Report includes certain risk factors that could materially affect our business, financial condition, or future results. Those risk factors have not materially changed. </w:t>
      </w:r>
    </w:p>
    <w:p>
      <w:pPr>
        <w:pStyle w:val="TextBody"/>
        <w:bidi w:val="0"/>
        <w:spacing w:before="0" w:after="120"/>
        <w:jc w:val="both"/>
        <w:rPr>
          <w:rFonts w:ascii="Times New Roman" w:hAnsi="Times New Roman"/>
          <w:b/>
          <w:color w:val="000000"/>
          <w:sz w:val="20"/>
        </w:rPr>
      </w:pPr>
      <w:bookmarkStart w:id="13" w:name="item_5_other_information"/>
      <w:bookmarkEnd w:id="13"/>
      <w:r>
        <w:rPr>
          <w:rFonts w:ascii="Times New Roman" w:hAnsi="Times New Roman"/>
          <w:b/>
          <w:color w:val="000000"/>
          <w:sz w:val="20"/>
        </w:rPr>
        <w:t>Item 5. Other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under the Exchange Act) adopted or terminated a “Rule 10b5-1 trading arrangement” or “non-Rule 10b5-1 trading arrangement,” as each term is defined in Item 408(a) of Regulation S-K.</w:t>
      </w:r>
    </w:p>
    <w:p>
      <w:pPr>
        <w:pStyle w:val="TextBody"/>
        <w:bidi w:val="0"/>
        <w:spacing w:before="0" w:after="12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II – OTHER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b/>
          <w:color w:val="000000"/>
          <w:sz w:val="20"/>
        </w:rPr>
      </w:pPr>
      <w:bookmarkStart w:id="14" w:name="item_6_exhibits"/>
      <w:bookmarkEnd w:id="14"/>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69"/>
        <w:gridCol w:w="146"/>
        <w:gridCol w:w="9190"/>
      </w:tblGrid>
      <w:tr>
        <w:trPr/>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90" w:type="dxa"/>
            <w:tcBorders/>
            <w:vAlign w:val="center"/>
          </w:tcPr>
          <w:p>
            <w:pPr>
              <w:pStyle w:val="TableContents"/>
              <w:bidi w:val="0"/>
              <w:spacing w:before="0" w:after="283"/>
              <w:jc w:val="left"/>
              <w:rPr>
                <w:sz w:val="4"/>
                <w:szCs w:val="4"/>
              </w:rPr>
            </w:pPr>
            <w:r>
              <w:rPr>
                <w:sz w:val="4"/>
                <w:szCs w:val="4"/>
              </w:rPr>
            </w:r>
          </w:p>
        </w:tc>
      </w:tr>
      <w:tr>
        <w:trPr/>
        <w:tc>
          <w:tcPr>
            <w:tcW w:w="86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90" w:type="dxa"/>
            <w:tcBorders/>
            <w:tcMar>
              <w:top w:w="0" w:type="dxa"/>
              <w:left w:w="0" w:type="dxa"/>
              <w:bottom w:w="0" w:type="dxa"/>
              <w:right w:w="0" w:type="dxa"/>
            </w:tcMar>
            <w:vAlign w:val="center"/>
          </w:tcPr>
          <w:p>
            <w:pPr>
              <w:pStyle w:val="TableContents"/>
              <w:bidi w:val="0"/>
              <w:spacing w:before="0" w:after="120"/>
              <w:jc w:val="both"/>
              <w:rPr/>
            </w:pPr>
            <w:hyperlink r:id="rId2">
              <w:r>
                <w:rPr>
                  <w:rStyle w:val="InternetLink"/>
                  <w:rFonts w:ascii="Times New Roman" w:hAnsi="Times New Roman"/>
                  <w:color w:val="0000FF"/>
                  <w:sz w:val="20"/>
                  <w:u w:val="single"/>
                </w:rPr>
                <w:t>First Amendment to Amended and Restated Employee Secondment Agreement, entered into as of May 5, 2026, by and among Hess Corporation, Hess Trading Corporation, Chevron U.S.A. Inc. and Chevron Corporation, Hess Midstream GP LP and Hess Midstream GP LLC (incorporated by reference herein to Exhibit 10.2 to the Company’s Quarterly Report on Form 10-Q filed on May 7, 2026)</w:t>
              </w:r>
            </w:hyperlink>
          </w:p>
        </w:tc>
      </w:tr>
      <w:tr>
        <w:trPr/>
        <w:tc>
          <w:tcPr>
            <w:tcW w:w="86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90" w:type="dxa"/>
            <w:tcBorders/>
            <w:tcMar>
              <w:top w:w="0" w:type="dxa"/>
              <w:left w:w="0" w:type="dxa"/>
              <w:bottom w:w="0" w:type="dxa"/>
              <w:right w:w="0" w:type="dxa"/>
            </w:tcMar>
            <w:vAlign w:val="center"/>
          </w:tcPr>
          <w:p>
            <w:pPr>
              <w:pStyle w:val="TableContents"/>
              <w:bidi w:val="0"/>
              <w:spacing w:before="0" w:after="120"/>
              <w:jc w:val="both"/>
              <w:rPr/>
            </w:pPr>
            <w:hyperlink w:anchor="hesm-ex31_1.htm">
              <w:r>
                <w:rPr>
                  <w:rStyle w:val="InternetLink"/>
                  <w:rFonts w:ascii="Times New Roman" w:hAnsi="Times New Roman"/>
                  <w:color w:val="0000FF"/>
                  <w:sz w:val="20"/>
                  <w:u w:val="single"/>
                </w:rPr>
                <w:t>Certification required by Rule 13a</w:t>
                <w:noBreakHyphen/>
                <w:t>14(a) (17 CFR 240.13a</w:t>
                <w:noBreakHyphen/>
                <w:t>14(a)) or Rule 15d</w:t>
                <w:noBreakHyphen/>
                <w:t>14(a) (17 CFR 240.15d</w:t>
                <w:noBreakHyphen/>
                <w:t>14(a))</w:t>
              </w:r>
            </w:hyperlink>
          </w:p>
        </w:tc>
      </w:tr>
      <w:tr>
        <w:trPr/>
        <w:tc>
          <w:tcPr>
            <w:tcW w:w="86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90" w:type="dxa"/>
            <w:tcBorders/>
            <w:tcMar>
              <w:top w:w="0" w:type="dxa"/>
              <w:left w:w="0" w:type="dxa"/>
              <w:bottom w:w="0" w:type="dxa"/>
              <w:right w:w="0" w:type="dxa"/>
            </w:tcMar>
            <w:vAlign w:val="center"/>
          </w:tcPr>
          <w:p>
            <w:pPr>
              <w:pStyle w:val="TableContents"/>
              <w:bidi w:val="0"/>
              <w:spacing w:before="0" w:after="120"/>
              <w:jc w:val="both"/>
              <w:rPr/>
            </w:pPr>
            <w:hyperlink w:anchor="hesm-ex31_2.htm">
              <w:r>
                <w:rPr>
                  <w:rStyle w:val="InternetLink"/>
                  <w:rFonts w:ascii="Times New Roman" w:hAnsi="Times New Roman"/>
                  <w:color w:val="0000FF"/>
                  <w:sz w:val="20"/>
                  <w:u w:val="single"/>
                </w:rPr>
                <w:t>Certification required by Rule 13a</w:t>
                <w:noBreakHyphen/>
                <w:t>14(a) (17 CFR 240.13a</w:t>
                <w:noBreakHyphen/>
                <w:t>14(a)) or Rule 15d</w:t>
                <w:noBreakHyphen/>
                <w:t>14(a) (17 CFR 240.15d</w:t>
                <w:noBreakHyphen/>
                <w:t>14(a))</w:t>
              </w:r>
            </w:hyperlink>
          </w:p>
        </w:tc>
      </w:tr>
      <w:tr>
        <w:trPr/>
        <w:tc>
          <w:tcPr>
            <w:tcW w:w="86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90" w:type="dxa"/>
            <w:tcBorders/>
            <w:tcMar>
              <w:top w:w="0" w:type="dxa"/>
              <w:left w:w="0" w:type="dxa"/>
              <w:bottom w:w="0" w:type="dxa"/>
              <w:right w:w="0" w:type="dxa"/>
            </w:tcMar>
            <w:vAlign w:val="center"/>
          </w:tcPr>
          <w:p>
            <w:pPr>
              <w:pStyle w:val="TableContents"/>
              <w:bidi w:val="0"/>
              <w:spacing w:before="0" w:after="120"/>
              <w:jc w:val="both"/>
              <w:rPr/>
            </w:pPr>
            <w:hyperlink w:anchor="hesm-ex32_1.htm">
              <w:r>
                <w:rPr>
                  <w:rStyle w:val="InternetLink"/>
                  <w:rFonts w:ascii="Times New Roman" w:hAnsi="Times New Roman"/>
                  <w:color w:val="0000FF"/>
                  <w:sz w:val="20"/>
                  <w:u w:val="single"/>
                </w:rPr>
                <w:t>Certification required by Rule 13a</w:t>
                <w:noBreakHyphen/>
                <w:t>14(b) (17 CFR 240.13a</w:t>
                <w:noBreakHyphen/>
                <w:t>14(b)) or Rule 15d</w:t>
                <w:noBreakHyphen/>
                <w:t>14(b) (17 CFR 240.15d</w:t>
                <w:noBreakHyphen/>
                <w:t>14(b)) and Section 1350 of Chapter 63 of Title 18 of the United States Code (18 U.S.C. 1350)</w:t>
              </w:r>
            </w:hyperlink>
          </w:p>
        </w:tc>
      </w:tr>
      <w:tr>
        <w:trPr/>
        <w:tc>
          <w:tcPr>
            <w:tcW w:w="869"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90" w:type="dxa"/>
            <w:tcBorders/>
            <w:tcMar>
              <w:top w:w="0" w:type="dxa"/>
              <w:left w:w="0" w:type="dxa"/>
              <w:bottom w:w="0" w:type="dxa"/>
              <w:right w:w="0" w:type="dxa"/>
            </w:tcMar>
            <w:vAlign w:val="center"/>
          </w:tcPr>
          <w:p>
            <w:pPr>
              <w:pStyle w:val="TableContents"/>
              <w:bidi w:val="0"/>
              <w:spacing w:before="0" w:after="120"/>
              <w:jc w:val="both"/>
              <w:rPr/>
            </w:pPr>
            <w:hyperlink w:anchor="hesm-ex32_2.htm">
              <w:r>
                <w:rPr>
                  <w:rStyle w:val="InternetLink"/>
                  <w:rFonts w:ascii="Times New Roman" w:hAnsi="Times New Roman"/>
                  <w:color w:val="0000FF"/>
                  <w:sz w:val="20"/>
                  <w:u w:val="single"/>
                </w:rPr>
                <w:t>Certification required by Rule 13a</w:t>
                <w:noBreakHyphen/>
                <w:t>14(b) (17 CFR 240.13a</w:t>
                <w:noBreakHyphen/>
                <w:t>14(b)) or Rule 15d</w:t>
                <w:noBreakHyphen/>
                <w:t>14(b) (17 CFR 240.15d</w:t>
                <w:noBreakHyphen/>
                <w:t>14(b)) and Section 1350 of Chapter 63 of Title 18 of the United States Code (18 U.S.C. 1350)</w:t>
              </w:r>
            </w:hyperlink>
          </w:p>
        </w:tc>
      </w:tr>
      <w:tr>
        <w:trPr/>
        <w:tc>
          <w:tcPr>
            <w:tcW w:w="8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69"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90"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60"/>
        <w:jc w:val="both"/>
        <w:rPr>
          <w:rFonts w:ascii="Times New Roman" w:hAnsi="Times New Roman"/>
          <w:sz w:val="20"/>
        </w:rPr>
      </w:pPr>
      <w:r>
        <w:rPr>
          <w:rFonts w:ascii="Times New Roman" w:hAnsi="Times New Roman"/>
          <w:color w:val="000000"/>
          <w:sz w:val="18"/>
        </w:rPr>
        <w:t> Certain confidential portions of this Exhibit were omitted by means of marking such portions with brackets (“[***]”) because the identified confidential portions (i) are not material and (ii) is the type of information that the registrant treats as private or confidential.</w:t>
      </w:r>
      <w:r>
        <w:rPr>
          <w:rFonts w:ascii="Times New Roman" w:hAnsi="Times New Roman"/>
          <w:color w:val="000000"/>
          <w:sz w:val="20"/>
        </w:rPr>
        <w:t xml:space="preserve"> </w:t>
      </w:r>
    </w:p>
    <w:p>
      <w:pPr>
        <w:pStyle w:val="TextBody"/>
        <w:bidi w:val="0"/>
        <w:spacing w:before="0" w:after="60"/>
        <w:jc w:val="both"/>
        <w:rPr>
          <w:rFonts w:ascii="Times New Roman" w:hAnsi="Times New Roman"/>
          <w:sz w:val="20"/>
        </w:rPr>
      </w:pPr>
      <w:r>
        <w:rPr>
          <w:rFonts w:ascii="Times New Roman" w:hAnsi="Times New Roman"/>
          <w:color w:val="000000"/>
          <w:sz w:val="18"/>
        </w:rPr>
        <w:t>*</w:t>
      </w:r>
      <w:r>
        <w:rPr>
          <w:rFonts w:ascii="Times New Roman" w:hAnsi="Times New Roman"/>
          <w:color w:val="000000"/>
          <w:sz w:val="20"/>
        </w:rPr>
        <w:t xml:space="preserve"> </w:t>
      </w:r>
      <w:r>
        <w:rPr>
          <w:rFonts w:ascii="Times New Roman" w:hAnsi="Times New Roman"/>
          <w:color w:val="000000"/>
          <w:sz w:val="18"/>
        </w:rPr>
        <w:t>Filed herewith</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SIGNATURES</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spacing w:before="0" w:after="240"/>
        <w:jc w:val="both"/>
        <w:rPr>
          <w:rFonts w:ascii="Times New Roman" w:hAnsi="Times New Roman"/>
          <w:color w:val="000000"/>
          <w:sz w:val="20"/>
        </w:rPr>
      </w:pPr>
      <w:bookmarkStart w:id="15" w:name="signatures"/>
      <w:bookmarkEnd w:id="15"/>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4470" w:type="dxa"/>
        <w:jc w:val="left"/>
        <w:tblInd w:w="0" w:type="dxa"/>
        <w:tblLayout w:type="fixed"/>
        <w:tblCellMar>
          <w:top w:w="28" w:type="dxa"/>
          <w:left w:w="28" w:type="dxa"/>
          <w:bottom w:w="28" w:type="dxa"/>
          <w:right w:w="28" w:type="dxa"/>
        </w:tblCellMar>
      </w:tblPr>
      <w:tblGrid>
        <w:gridCol w:w="627"/>
        <w:gridCol w:w="188"/>
        <w:gridCol w:w="3655"/>
      </w:tblGrid>
      <w:tr>
        <w:trPr/>
        <w:tc>
          <w:tcPr>
            <w:tcW w:w="6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LP (Registrant)</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HESS MIDSTREAM GP LP, its General Partner</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HESS MIDSTREAM GP LLC, its General Partner</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Jonathan C. Stein</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Jonathan C. Stein</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Chief Executive Officer</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Michael J. Chadwick</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Michael J. Chadwick</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August 6, 2026</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6" w:name="hesm-ex31_1.htm"/>
      <w:bookmarkStart w:id="17" w:name="kshesmex31_1"/>
      <w:bookmarkEnd w:id="16"/>
      <w:bookmarkEnd w:id="1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Jonathan C. Stein,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I have reviewed this quarterly report on Form 10</w:t>
        <w:noBreakHyphen/>
        <w:t>Q of Hess Midstream LP;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August 6, 2026</w:t>
      </w:r>
    </w:p>
    <w:tbl>
      <w:tblPr>
        <w:tblW w:w="4663" w:type="dxa"/>
        <w:jc w:val="left"/>
        <w:tblInd w:w="0" w:type="dxa"/>
        <w:tblLayout w:type="fixed"/>
        <w:tblCellMar>
          <w:top w:w="28" w:type="dxa"/>
          <w:left w:w="28" w:type="dxa"/>
          <w:bottom w:w="28" w:type="dxa"/>
          <w:right w:w="28" w:type="dxa"/>
        </w:tblCellMar>
      </w:tblPr>
      <w:tblGrid>
        <w:gridCol w:w="406"/>
        <w:gridCol w:w="146"/>
        <w:gridCol w:w="4111"/>
      </w:tblGrid>
      <w:tr>
        <w:trPr/>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Jonathan C. Stein</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Jonathan C. Stein</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LP, its General Partner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8" w:name="hesm-ex31_2.htm"/>
      <w:bookmarkStart w:id="19" w:name="kshesmex31_2"/>
      <w:bookmarkEnd w:id="18"/>
      <w:bookmarkEnd w:id="1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Michael J. Chadwick,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I have reviewed this quarterly report on Form 10</w:t>
        <w:noBreakHyphen/>
        <w:t>Q of Hess Midstream LP;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August 6, 2026</w:t>
      </w:r>
    </w:p>
    <w:tbl>
      <w:tblPr>
        <w:tblW w:w="4663" w:type="dxa"/>
        <w:jc w:val="left"/>
        <w:tblInd w:w="0" w:type="dxa"/>
        <w:tblLayout w:type="fixed"/>
        <w:tblCellMar>
          <w:top w:w="28" w:type="dxa"/>
          <w:left w:w="28" w:type="dxa"/>
          <w:bottom w:w="28" w:type="dxa"/>
          <w:right w:w="28" w:type="dxa"/>
        </w:tblCellMar>
      </w:tblPr>
      <w:tblGrid>
        <w:gridCol w:w="406"/>
        <w:gridCol w:w="146"/>
        <w:gridCol w:w="4111"/>
      </w:tblGrid>
      <w:tr>
        <w:trPr/>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 Michael J. Chadwick </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Michael J. Chadwick</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LP, its General Partner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0" w:name="hesm-ex32_1.htm"/>
      <w:bookmarkStart w:id="21" w:name="kshesmex32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CERTIFICATION </w:t>
      </w:r>
      <w:r>
        <w:rPr>
          <w:rFonts w:ascii="Times New Roman" w:hAnsi="Times New Roman"/>
          <w:b/>
          <w:caps/>
          <w:color w:val="000000"/>
          <w:sz w:val="20"/>
        </w:rPr>
        <w:t>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Hess Midstream LP (the “Partnership”) on Form 10</w:t>
        <w:noBreakHyphen/>
        <w:t>Q for the period ended June 30, 2026 as filed with the Securities and Exchange Commission on the date hereof (the “Report”), I, Jonathan C. Stein, Chief Executive Officer of Hess Midstream GP LLC, the general partner of the Partnership, certify, pursuant to 18 U.S.C. Section 1350, as adopted pursuant to Section 906 of the Sarbanes</w:t>
        <w:noBreakHyphen/>
        <w:t>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Partnership.</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August 6, 2026</w:t>
      </w:r>
    </w:p>
    <w:tbl>
      <w:tblPr>
        <w:tblW w:w="4618" w:type="dxa"/>
        <w:jc w:val="left"/>
        <w:tblInd w:w="0" w:type="dxa"/>
        <w:tblLayout w:type="fixed"/>
        <w:tblCellMar>
          <w:top w:w="28" w:type="dxa"/>
          <w:left w:w="28" w:type="dxa"/>
          <w:bottom w:w="28" w:type="dxa"/>
          <w:right w:w="28" w:type="dxa"/>
        </w:tblCellMar>
      </w:tblPr>
      <w:tblGrid>
        <w:gridCol w:w="361"/>
        <w:gridCol w:w="146"/>
        <w:gridCol w:w="411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C. Stein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C. Stein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LP, its General Partner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Partnership and will be retained by the Partnership and furnished to the Securities and Exchange Commission or its staff upon request.</w:t>
      </w:r>
    </w:p>
    <w:p>
      <w:pPr>
        <w:pStyle w:val="TextBody"/>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hesm-ex32_2.htm"/>
      <w:bookmarkStart w:id="23" w:name="kshesmex32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CERTIFICATION </w:t>
      </w:r>
      <w:r>
        <w:rPr>
          <w:rFonts w:ascii="Times New Roman" w:hAnsi="Times New Roman"/>
          <w:b/>
          <w:caps/>
          <w:color w:val="000000"/>
          <w:sz w:val="20"/>
        </w:rPr>
        <w:t>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Hess Midstream LP (the “Partnership”) on Form 10</w:t>
        <w:noBreakHyphen/>
        <w:t>Q for the period ended June 30, 2026 as filed with the Securities and Exchange Commission on the date hereof (the “Report”), I, Michael J. Chadwick, Chief Financial Officer of Hess Midstream GP LLC, the general partner of the Partnership, certify, pursuant to 18 U.S.C. Section 1350, as adopted pursuant to Section 906 of the Sarbanes</w:t>
        <w:noBreakHyphen/>
        <w:t>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Partnership.</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Date: August 6, 2026</w:t>
      </w:r>
    </w:p>
    <w:tbl>
      <w:tblPr>
        <w:tblW w:w="4618" w:type="dxa"/>
        <w:jc w:val="left"/>
        <w:tblInd w:w="0" w:type="dxa"/>
        <w:tblLayout w:type="fixed"/>
        <w:tblCellMar>
          <w:top w:w="28" w:type="dxa"/>
          <w:left w:w="28" w:type="dxa"/>
          <w:bottom w:w="28" w:type="dxa"/>
          <w:right w:w="28" w:type="dxa"/>
        </w:tblCellMar>
      </w:tblPr>
      <w:tblGrid>
        <w:gridCol w:w="361"/>
        <w:gridCol w:w="146"/>
        <w:gridCol w:w="411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J. Chadwick</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Chadwick</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LP, its General Partner</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Partnership and will be retained by the Partnership and furnished to the Securities and Exchange Commission or its staff upon request.</w:t>
      </w:r>
    </w:p>
    <w:p>
      <w:pPr>
        <w:pStyle w:val="TextBody"/>
        <w:bidi w:val="0"/>
        <w:spacing w:before="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9832/000119312526211991/hesm-ex10_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15475</Words>
  <Characters>83706</Characters>
  <CharactersWithSpaces>101471</CharactersWithSpaces>
  <Paragraphs>7036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