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4, 2026</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Hess Midstream LP</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93" w:lineRule="exact"/>
        <w:rPr>
          <w:sz w:val="24"/>
          <w:szCs w:val="24"/>
          <w:color w:val="auto"/>
        </w:rPr>
      </w:pPr>
    </w:p>
    <w:tbl>
      <w:tblPr>
        <w:tblLayout w:type="fixed"/>
        <w:tblInd w:w="880" w:type="dxa"/>
        <w:tblCellMar>
          <w:top w:w="0" w:type="dxa"/>
          <w:left w:w="0" w:type="dxa"/>
          <w:bottom w:w="0" w:type="dxa"/>
          <w:right w:w="0" w:type="dxa"/>
        </w:tblCellMar>
      </w:tblPr>
      <w:tr>
        <w:trPr>
          <w:trHeight w:val="218"/>
        </w:trPr>
        <w:tc>
          <w:tcPr>
            <w:tcW w:w="262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DELAWARE</w:t>
            </w: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 001-39163</w:t>
            </w:r>
          </w:p>
        </w:tc>
        <w:tc>
          <w:tcPr>
            <w:tcW w:w="240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No. 84-3211812</w:t>
            </w:r>
          </w:p>
        </w:tc>
      </w:tr>
      <w:tr>
        <w:trPr>
          <w:trHeight w:val="216"/>
        </w:trPr>
        <w:tc>
          <w:tcPr>
            <w:tcW w:w="2620" w:type="dxa"/>
            <w:vAlign w:val="bottom"/>
          </w:tcPr>
          <w:p>
            <w:pPr>
              <w:jc w:val="center"/>
              <w:ind w:right="530"/>
              <w:spacing w:after="0"/>
              <w:rPr>
                <w:sz w:val="20"/>
                <w:szCs w:val="20"/>
                <w:color w:val="auto"/>
              </w:rPr>
            </w:pPr>
            <w:r>
              <w:rPr>
                <w:rFonts w:ascii="Times New Roman" w:cs="Times New Roman" w:eastAsia="Times New Roman" w:hAnsi="Times New Roman"/>
                <w:sz w:val="18"/>
                <w:szCs w:val="18"/>
                <w:i w:val="1"/>
                <w:iCs w:val="1"/>
                <w:color w:val="auto"/>
              </w:rPr>
              <w:t>(State or Other Jurisdiction</w:t>
            </w: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(Commission File Number)</w:t>
            </w:r>
          </w:p>
        </w:tc>
        <w:tc>
          <w:tcPr>
            <w:tcW w:w="2400" w:type="dxa"/>
            <w:vAlign w:val="bottom"/>
          </w:tcPr>
          <w:p>
            <w:pPr>
              <w:jc w:val="center"/>
              <w:ind w:left="61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620" w:type="dxa"/>
            <w:vAlign w:val="bottom"/>
          </w:tcPr>
          <w:p>
            <w:pPr>
              <w:jc w:val="center"/>
              <w:ind w:right="510"/>
              <w:spacing w:after="0"/>
              <w:rPr>
                <w:sz w:val="20"/>
                <w:szCs w:val="20"/>
                <w:color w:val="auto"/>
              </w:rPr>
            </w:pPr>
            <w:r>
              <w:rPr>
                <w:rFonts w:ascii="Times New Roman" w:cs="Times New Roman" w:eastAsia="Times New Roman" w:hAnsi="Times New Roman"/>
                <w:sz w:val="18"/>
                <w:szCs w:val="18"/>
                <w:i w:val="1"/>
                <w:iCs w:val="1"/>
                <w:color w:val="auto"/>
              </w:rPr>
              <w:t>of Incorporation)</w:t>
            </w:r>
          </w:p>
        </w:tc>
        <w:tc>
          <w:tcPr>
            <w:tcW w:w="4320" w:type="dxa"/>
            <w:vAlign w:val="bottom"/>
          </w:tcPr>
          <w:p>
            <w:pPr>
              <w:spacing w:after="0"/>
              <w:rPr>
                <w:sz w:val="20"/>
                <w:szCs w:val="20"/>
                <w:color w:val="auto"/>
              </w:rPr>
            </w:pPr>
          </w:p>
        </w:tc>
        <w:tc>
          <w:tcPr>
            <w:tcW w:w="2400" w:type="dxa"/>
            <w:vAlign w:val="bottom"/>
          </w:tcPr>
          <w:p>
            <w:pPr>
              <w:jc w:val="center"/>
              <w:ind w:left="610"/>
              <w:spacing w:after="0"/>
              <w:rPr>
                <w:sz w:val="20"/>
                <w:szCs w:val="20"/>
                <w:color w:val="auto"/>
              </w:rPr>
            </w:pPr>
            <w:r>
              <w:rPr>
                <w:rFonts w:ascii="Times New Roman" w:cs="Times New Roman" w:eastAsia="Times New Roman" w:hAnsi="Times New Roman"/>
                <w:sz w:val="18"/>
                <w:szCs w:val="18"/>
                <w:i w:val="1"/>
                <w:iCs w:val="1"/>
                <w:color w:val="auto"/>
                <w:w w:val="99"/>
              </w:rPr>
              <w:t>Identification Number.)</w:t>
            </w:r>
          </w:p>
        </w:tc>
      </w:tr>
      <w:tr>
        <w:trPr>
          <w:trHeight w:val="302"/>
        </w:trPr>
        <w:tc>
          <w:tcPr>
            <w:tcW w:w="262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1400 Smith Street</w:t>
            </w:r>
          </w:p>
        </w:tc>
        <w:tc>
          <w:tcPr>
            <w:tcW w:w="2400" w:type="dxa"/>
            <w:vAlign w:val="bottom"/>
          </w:tcPr>
          <w:p>
            <w:pPr>
              <w:spacing w:after="0"/>
              <w:rPr>
                <w:sz w:val="24"/>
                <w:szCs w:val="24"/>
                <w:color w:val="auto"/>
              </w:rPr>
            </w:pPr>
          </w:p>
        </w:tc>
      </w:tr>
      <w:tr>
        <w:trPr>
          <w:trHeight w:val="214"/>
        </w:trPr>
        <w:tc>
          <w:tcPr>
            <w:tcW w:w="2620" w:type="dxa"/>
            <w:vAlign w:val="bottom"/>
          </w:tcPr>
          <w:p>
            <w:pPr>
              <w:spacing w:after="0"/>
              <w:rPr>
                <w:sz w:val="18"/>
                <w:szCs w:val="18"/>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Houston, Texas 77002</w:t>
            </w:r>
          </w:p>
        </w:tc>
        <w:tc>
          <w:tcPr>
            <w:tcW w:w="2400" w:type="dxa"/>
            <w:vAlign w:val="bottom"/>
          </w:tcPr>
          <w:p>
            <w:pPr>
              <w:spacing w:after="0"/>
              <w:rPr>
                <w:sz w:val="18"/>
                <w:szCs w:val="18"/>
                <w:color w:val="auto"/>
              </w:rPr>
            </w:pPr>
          </w:p>
        </w:tc>
      </w:tr>
      <w:tr>
        <w:trPr>
          <w:trHeight w:val="190"/>
        </w:trPr>
        <w:tc>
          <w:tcPr>
            <w:tcW w:w="2620" w:type="dxa"/>
            <w:vAlign w:val="bottom"/>
          </w:tcPr>
          <w:p>
            <w:pPr>
              <w:spacing w:after="0"/>
              <w:rPr>
                <w:sz w:val="16"/>
                <w:szCs w:val="16"/>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(Zip Code)</w:t>
            </w:r>
          </w:p>
        </w:tc>
        <w:tc>
          <w:tcPr>
            <w:tcW w:w="2400" w:type="dxa"/>
            <w:vAlign w:val="bottom"/>
          </w:tcPr>
          <w:p>
            <w:pPr>
              <w:spacing w:after="0"/>
              <w:rPr>
                <w:sz w:val="16"/>
                <w:szCs w:val="16"/>
                <w:color w:val="auto"/>
              </w:rPr>
            </w:pPr>
          </w:p>
        </w:tc>
      </w:tr>
    </w:tbl>
    <w:p>
      <w:pPr>
        <w:spacing w:after="0" w:line="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(832) 854-1000</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(Former Name or Former Address, if Changed Since Last Report)</w:t>
      </w:r>
    </w:p>
    <w:p>
      <w:pPr>
        <w:spacing w:after="0" w:line="43" w:lineRule="exact"/>
        <w:rPr>
          <w:sz w:val="24"/>
          <w:szCs w:val="24"/>
          <w:color w:val="auto"/>
        </w:rPr>
      </w:pPr>
    </w:p>
    <w:p>
      <w:pPr>
        <w:ind w:firstLine="749"/>
        <w:spacing w:after="0" w:line="245" w:lineRule="exact"/>
        <w:rPr>
          <w:sz w:val="20"/>
          <w:szCs w:val="20"/>
          <w:color w:val="auto"/>
        </w:rPr>
      </w:pPr>
      <w:r>
        <w:rPr>
          <w:rFonts w:ascii="Times New Roman" w:cs="Times New Roman" w:eastAsia="Times New Roman" w:hAnsi="Times New Roman"/>
          <w:sz w:val="18"/>
          <w:szCs w:val="18"/>
          <w:color w:val="auto"/>
        </w:rPr>
        <w:t>Check the appropriate box below if the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filing is intended to simultaneously satisfy the filing obligation of the registrant under any of the following provisions:</w:t>
      </w:r>
    </w:p>
    <w:p>
      <w:pPr>
        <w:spacing w:after="0" w:line="91"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60" w:hanging="352"/>
        <w:spacing w:after="0" w:line="207" w:lineRule="exact"/>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line="207" w:lineRule="exact"/>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commencement communications pursuant to Rule 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 under the Exchange Act (17 CFR 240.14d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w:t>
      </w:r>
    </w:p>
    <w:p>
      <w:pPr>
        <w:spacing w:after="0" w:line="9" w:lineRule="exact"/>
        <w:rPr>
          <w:rFonts w:ascii="MS PGothic" w:cs="MS PGothic" w:eastAsia="MS PGothic" w:hAnsi="MS PGothic"/>
          <w:sz w:val="18"/>
          <w:szCs w:val="18"/>
          <w:color w:val="auto"/>
        </w:rPr>
      </w:pPr>
    </w:p>
    <w:p>
      <w:pPr>
        <w:ind w:left="360" w:hanging="352"/>
        <w:spacing w:after="0" w:line="207" w:lineRule="exact"/>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commencement communications pursuant to Rule 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 under the Exchange Act (17 CFR 240.13e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1240"/>
          </w:cols>
          <w:pgMar w:left="320" w:top="1440" w:right="339" w:bottom="1440" w:gutter="0" w:footer="0" w:header="0"/>
        </w:sectPr>
      </w:pPr>
    </w:p>
    <w:p>
      <w:pPr>
        <w:spacing w:after="0" w:line="26"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Title of each class</w:t>
      </w:r>
    </w:p>
    <w:p>
      <w:pPr>
        <w:spacing w:after="0" w:line="19"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Class A shares representing limited partner interests</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right="1920" w:hanging="379"/>
        <w:spacing w:after="0" w:line="288" w:lineRule="auto"/>
        <w:rPr>
          <w:sz w:val="20"/>
          <w:szCs w:val="20"/>
          <w:color w:val="auto"/>
        </w:rPr>
      </w:pPr>
      <w:r>
        <w:rPr>
          <w:rFonts w:ascii="Times New Roman" w:cs="Times New Roman" w:eastAsia="Times New Roman" w:hAnsi="Times New Roman"/>
          <w:sz w:val="16"/>
          <w:szCs w:val="16"/>
          <w:i w:val="1"/>
          <w:iCs w:val="1"/>
          <w:color w:val="auto"/>
        </w:rPr>
        <w:t>Trading Symbol(s)</w:t>
      </w:r>
      <w:r>
        <w:rPr>
          <w:sz w:val="20"/>
          <w:szCs w:val="20"/>
          <w:color w:val="auto"/>
        </w:rPr>
        <w:t xml:space="preserve"> </w:t>
      </w:r>
      <w:r>
        <w:rPr>
          <w:rFonts w:ascii="Times New Roman" w:cs="Times New Roman" w:eastAsia="Times New Roman" w:hAnsi="Times New Roman"/>
          <w:sz w:val="16"/>
          <w:szCs w:val="16"/>
          <w:i w:val="1"/>
          <w:iCs w:val="1"/>
          <w:color w:val="auto"/>
        </w:rPr>
        <w:t xml:space="preserve">Name of each exchange on which registered </w:t>
      </w:r>
      <w:r>
        <w:rPr>
          <w:rFonts w:ascii="Times New Roman" w:cs="Times New Roman" w:eastAsia="Times New Roman" w:hAnsi="Times New Roman"/>
          <w:sz w:val="16"/>
          <w:szCs w:val="16"/>
          <w:color w:val="auto"/>
        </w:rPr>
        <w:t>HESM New York Stock Exchange</w:t>
      </w:r>
    </w:p>
    <w:p>
      <w:pPr>
        <w:spacing w:after="0" w:line="200" w:lineRule="exact"/>
        <w:rPr>
          <w:sz w:val="24"/>
          <w:szCs w:val="24"/>
          <w:color w:val="auto"/>
        </w:rPr>
      </w:pPr>
    </w:p>
    <w:p>
      <w:pPr>
        <w:sectPr>
          <w:pgSz w:w="11900" w:h="16838" w:orient="portrait"/>
          <w:cols w:equalWidth="0" w:num="2">
            <w:col w:w="4300" w:space="720"/>
            <w:col w:w="6220"/>
          </w:cols>
          <w:pgMar w:left="320" w:top="1440" w:right="339" w:bottom="1440" w:gutter="0" w:footer="0" w:header="0"/>
          <w:type w:val="continuous"/>
        </w:sectPr>
      </w:pPr>
    </w:p>
    <w:p>
      <w:pPr>
        <w:spacing w:after="0" w:line="75" w:lineRule="exact"/>
        <w:rPr>
          <w:sz w:val="24"/>
          <w:szCs w:val="24"/>
          <w:color w:val="auto"/>
        </w:rPr>
      </w:pPr>
    </w:p>
    <w:p>
      <w:pPr>
        <w:ind w:right="20" w:firstLine="749"/>
        <w:spacing w:after="0" w:line="239" w:lineRule="exact"/>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the Securities Exchange Act of 1934 (§240.12b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this chapter).</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firstLine="74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1153160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On May 4, 2026, Hess Midstream LP issued a news release reporting estimated results for the first quarter of 2025. A copy of this news release is furnished as Exhibit 99.1 to this report and is incorporated by reference herein.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tab/>
        <w:t>Exhibit</w:t>
      </w:r>
    </w:p>
    <w:p>
      <w:pPr>
        <w:spacing w:after="0" w:line="117" w:lineRule="exact"/>
        <w:rPr>
          <w:sz w:val="20"/>
          <w:szCs w:val="20"/>
          <w:color w:val="auto"/>
        </w:rPr>
      </w:pPr>
    </w:p>
    <w:p>
      <w:pPr>
        <w:ind w:left="980"/>
        <w:spacing w:after="0"/>
        <w:tabs>
          <w:tab w:leader="none" w:pos="19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May 4, 2026 reporting estimated results for the first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1224280</wp:posOffset>
            </wp:positionH>
            <wp:positionV relativeFrom="paragraph">
              <wp:posOffset>-7620</wp:posOffset>
            </wp:positionV>
            <wp:extent cx="40360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36060" cy="8890"/>
                    </a:xfrm>
                    <a:prstGeom prst="rect">
                      <a:avLst/>
                    </a:prstGeom>
                    <a:noFill/>
                  </pic:spPr>
                </pic:pic>
              </a:graphicData>
            </a:graphic>
          </wp:anchor>
        </w:drawing>
      </w:r>
    </w:p>
    <w:p>
      <w:pPr>
        <w:spacing w:after="0" w:line="205" w:lineRule="exact"/>
        <w:rPr>
          <w:sz w:val="20"/>
          <w:szCs w:val="20"/>
          <w:color w:val="auto"/>
        </w:rPr>
      </w:pPr>
    </w:p>
    <w:p>
      <w:pPr>
        <w:ind w:left="1920" w:hanging="937"/>
        <w:spacing w:after="0"/>
        <w:tabs>
          <w:tab w:leader="none" w:pos="1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8" w:right="359" w:bottom="1440" w:gutter="0" w:footer="0" w:header="0"/>
        </w:sectPr>
      </w:pPr>
    </w:p>
    <w:bookmarkStart w:id="2" w:name="page3"/>
    <w:bookmarkEnd w:id="2"/>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2026</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HESS MIDSTREAM LP (Registrant)</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HESS MIDSTREAM GP LP, its General Partner</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HESS MIDSTREAM GP LLC, its General Partner</w:t>
      </w:r>
    </w:p>
    <w:p>
      <w:pPr>
        <w:spacing w:after="0" w:line="225"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J.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17145</wp:posOffset>
            </wp:positionV>
            <wp:extent cx="3917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Michael J. Chadwick</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465580" cy="428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55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HESS MIDSTREAM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1323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1688465" cy="248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8846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HESS MIDSTREAM LP REPORTS ESTIMATED RESULTS FOR THE FIRST QUARTER OF 2026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2026 Highlights:</w:t>
      </w:r>
    </w:p>
    <w:p>
      <w:pPr>
        <w:spacing w:after="0" w:line="65" w:lineRule="exact"/>
        <w:rPr>
          <w:sz w:val="20"/>
          <w:szCs w:val="20"/>
          <w:color w:val="auto"/>
        </w:rPr>
      </w:pPr>
    </w:p>
    <w:p>
      <w:pPr>
        <w:ind w:left="480" w:hanging="383"/>
        <w:spacing w:after="0"/>
        <w:tabs>
          <w:tab w:leader="none" w:pos="480" w:val="left"/>
        </w:tabs>
        <w:numPr>
          <w:ilvl w:val="0"/>
          <w:numId w:val="3"/>
        </w:numPr>
        <w:rPr>
          <w:rFonts w:ascii="Times New Roman" w:cs="Times New Roman" w:eastAsia="Times New Roman" w:hAnsi="Times New Roman"/>
          <w:sz w:val="20"/>
          <w:szCs w:val="20"/>
          <w:color w:val="auto"/>
        </w:rPr>
      </w:pPr>
      <w:r>
        <w:rPr>
          <w:rFonts w:ascii="Arial" w:cs="Arial" w:eastAsia="Arial" w:hAnsi="Arial"/>
          <w:sz w:val="18"/>
          <w:szCs w:val="18"/>
          <w:b w:val="1"/>
          <w:bCs w:val="1"/>
          <w:i w:val="1"/>
          <w:iCs w:val="1"/>
          <w:color w:val="auto"/>
        </w:rPr>
        <w:t>Net income was $157.7 million. Net cash provided by operating activities was $253.3 million.</w:t>
      </w:r>
    </w:p>
    <w:p>
      <w:pPr>
        <w:spacing w:after="0" w:line="175" w:lineRule="exact"/>
        <w:rPr>
          <w:rFonts w:ascii="Times New Roman" w:cs="Times New Roman" w:eastAsia="Times New Roman" w:hAnsi="Times New Roman"/>
          <w:sz w:val="20"/>
          <w:szCs w:val="20"/>
          <w:color w:val="auto"/>
        </w:rPr>
      </w:pPr>
    </w:p>
    <w:p>
      <w:pPr>
        <w:ind w:left="480" w:hanging="383"/>
        <w:spacing w:after="0" w:line="252" w:lineRule="auto"/>
        <w:tabs>
          <w:tab w:leader="none" w:pos="480" w:val="left"/>
        </w:tabs>
        <w:numPr>
          <w:ilvl w:val="0"/>
          <w:numId w:val="3"/>
        </w:numPr>
        <w:rPr>
          <w:rFonts w:ascii="Times New Roman" w:cs="Times New Roman" w:eastAsia="Times New Roman" w:hAnsi="Times New Roman"/>
          <w:sz w:val="20"/>
          <w:szCs w:val="20"/>
          <w:color w:val="auto"/>
        </w:rPr>
      </w:pPr>
      <w:r>
        <w:rPr>
          <w:rFonts w:ascii="Arial" w:cs="Arial" w:eastAsia="Arial" w:hAnsi="Arial"/>
          <w:sz w:val="18"/>
          <w:szCs w:val="18"/>
          <w:b w:val="1"/>
          <w:bCs w:val="1"/>
          <w:i w:val="1"/>
          <w:iCs w:val="1"/>
          <w:color w:val="auto"/>
        </w:rPr>
        <w:t>Net income attributable to Hess Midstream LP was $87.6 million, or $0.68 basic earnings per Class A share, after deduction for noncontrolling interests.</w:t>
      </w:r>
    </w:p>
    <w:p>
      <w:pPr>
        <w:spacing w:after="0" w:line="140" w:lineRule="exact"/>
        <w:rPr>
          <w:rFonts w:ascii="Times New Roman" w:cs="Times New Roman" w:eastAsia="Times New Roman" w:hAnsi="Times New Roman"/>
          <w:sz w:val="20"/>
          <w:szCs w:val="20"/>
          <w:color w:val="auto"/>
        </w:rPr>
      </w:pPr>
    </w:p>
    <w:p>
      <w:pPr>
        <w:ind w:left="480" w:hanging="383"/>
        <w:spacing w:after="0"/>
        <w:tabs>
          <w:tab w:leader="none" w:pos="480" w:val="left"/>
        </w:tabs>
        <w:numPr>
          <w:ilvl w:val="0"/>
          <w:numId w:val="3"/>
        </w:numPr>
        <w:rPr>
          <w:rFonts w:ascii="Times New Roman" w:cs="Times New Roman" w:eastAsia="Times New Roman" w:hAnsi="Times New Roman"/>
          <w:sz w:val="20"/>
          <w:szCs w:val="20"/>
          <w:color w:val="auto"/>
        </w:rPr>
      </w:pPr>
      <w:r>
        <w:rPr>
          <w:rFonts w:ascii="Arial" w:cs="Arial" w:eastAsia="Arial" w:hAnsi="Arial"/>
          <w:sz w:val="18"/>
          <w:szCs w:val="18"/>
          <w:b w:val="1"/>
          <w:bCs w:val="1"/>
          <w:i w:val="1"/>
          <w:iCs w:val="1"/>
          <w:color w:val="auto"/>
        </w:rPr>
        <w:t>Adjusted EBITDA</w:t>
      </w:r>
      <w:r>
        <w:rPr>
          <w:rFonts w:ascii="Arial" w:cs="Arial" w:eastAsia="Arial" w:hAnsi="Arial"/>
          <w:sz w:val="24"/>
          <w:szCs w:val="24"/>
          <w:b w:val="1"/>
          <w:bCs w:val="1"/>
          <w:i w:val="1"/>
          <w:iCs w:val="1"/>
          <w:color w:val="auto"/>
          <w:vertAlign w:val="superscript"/>
        </w:rPr>
        <w:t>1</w:t>
      </w:r>
      <w:r>
        <w:rPr>
          <w:rFonts w:ascii="Arial" w:cs="Arial" w:eastAsia="Arial" w:hAnsi="Arial"/>
          <w:sz w:val="18"/>
          <w:szCs w:val="18"/>
          <w:b w:val="1"/>
          <w:bCs w:val="1"/>
          <w:i w:val="1"/>
          <w:iCs w:val="1"/>
          <w:color w:val="auto"/>
        </w:rPr>
        <w:t xml:space="preserve"> was $299.8 million and Adjusted Free Cash Flow</w:t>
      </w:r>
      <w:r>
        <w:rPr>
          <w:rFonts w:ascii="Arial" w:cs="Arial" w:eastAsia="Arial" w:hAnsi="Arial"/>
          <w:sz w:val="24"/>
          <w:szCs w:val="24"/>
          <w:b w:val="1"/>
          <w:bCs w:val="1"/>
          <w:i w:val="1"/>
          <w:iCs w:val="1"/>
          <w:color w:val="auto"/>
          <w:vertAlign w:val="superscript"/>
        </w:rPr>
        <w:t>1</w:t>
      </w:r>
      <w:r>
        <w:rPr>
          <w:rFonts w:ascii="Arial" w:cs="Arial" w:eastAsia="Arial" w:hAnsi="Arial"/>
          <w:sz w:val="18"/>
          <w:szCs w:val="18"/>
          <w:b w:val="1"/>
          <w:bCs w:val="1"/>
          <w:i w:val="1"/>
          <w:iCs w:val="1"/>
          <w:color w:val="auto"/>
        </w:rPr>
        <w:t xml:space="preserve"> was $237.0 million.</w:t>
      </w:r>
    </w:p>
    <w:p>
      <w:pPr>
        <w:spacing w:after="0" w:line="150" w:lineRule="exact"/>
        <w:rPr>
          <w:rFonts w:ascii="Times New Roman" w:cs="Times New Roman" w:eastAsia="Times New Roman" w:hAnsi="Times New Roman"/>
          <w:sz w:val="20"/>
          <w:szCs w:val="20"/>
          <w:color w:val="auto"/>
        </w:rPr>
      </w:pPr>
    </w:p>
    <w:p>
      <w:pPr>
        <w:ind w:left="480" w:hanging="383"/>
        <w:spacing w:after="0" w:line="252" w:lineRule="auto"/>
        <w:tabs>
          <w:tab w:leader="none" w:pos="480" w:val="left"/>
        </w:tabs>
        <w:numPr>
          <w:ilvl w:val="0"/>
          <w:numId w:val="3"/>
        </w:numPr>
        <w:rPr>
          <w:rFonts w:ascii="Times New Roman" w:cs="Times New Roman" w:eastAsia="Times New Roman" w:hAnsi="Times New Roman"/>
          <w:sz w:val="20"/>
          <w:szCs w:val="20"/>
          <w:color w:val="auto"/>
        </w:rPr>
      </w:pPr>
      <w:r>
        <w:rPr>
          <w:rFonts w:ascii="Arial" w:cs="Arial" w:eastAsia="Arial" w:hAnsi="Arial"/>
          <w:sz w:val="18"/>
          <w:szCs w:val="18"/>
          <w:b w:val="1"/>
          <w:bCs w:val="1"/>
          <w:i w:val="1"/>
          <w:iCs w:val="1"/>
          <w:color w:val="auto"/>
        </w:rPr>
        <w:t>Completed accretive $42.0 million repurchase of Class A shares of Hess Midstream LP and $18.0 million repurchase of Class B units of Hess Midstream Operations LP.</w:t>
      </w:r>
    </w:p>
    <w:p>
      <w:pPr>
        <w:spacing w:after="0" w:line="135" w:lineRule="exact"/>
        <w:rPr>
          <w:rFonts w:ascii="Times New Roman" w:cs="Times New Roman" w:eastAsia="Times New Roman" w:hAnsi="Times New Roman"/>
          <w:sz w:val="20"/>
          <w:szCs w:val="20"/>
          <w:color w:val="auto"/>
        </w:rPr>
      </w:pPr>
    </w:p>
    <w:p>
      <w:pPr>
        <w:jc w:val="both"/>
        <w:ind w:left="480" w:hanging="383"/>
        <w:spacing w:after="0"/>
        <w:tabs>
          <w:tab w:leader="none" w:pos="480" w:val="left"/>
        </w:tabs>
        <w:numPr>
          <w:ilvl w:val="0"/>
          <w:numId w:val="3"/>
        </w:numPr>
        <w:rPr>
          <w:rFonts w:ascii="Times New Roman" w:cs="Times New Roman" w:eastAsia="Times New Roman" w:hAnsi="Times New Roman"/>
          <w:sz w:val="20"/>
          <w:szCs w:val="20"/>
          <w:color w:val="auto"/>
        </w:rPr>
      </w:pPr>
      <w:r>
        <w:rPr>
          <w:rFonts w:ascii="Arial" w:cs="Arial" w:eastAsia="Arial" w:hAnsi="Arial"/>
          <w:sz w:val="18"/>
          <w:szCs w:val="18"/>
          <w:b w:val="1"/>
          <w:bCs w:val="1"/>
          <w:i w:val="1"/>
          <w:iCs w:val="1"/>
          <w:color w:val="auto"/>
        </w:rPr>
        <w:t>Increased quarterly cash distribution to $0.7792 per Class A share for the first quarter of 2026, an increase of $0.0151 per Class A share for the first quarter of 2026 compared with the fourth quarter of 2025. This increase is supported by the reduction in total Hess Midstream LP shares and Hess Midstream Operations LP units following the accretive repurchases in the first quarter of 2026.</w:t>
      </w:r>
    </w:p>
    <w:p>
      <w:pPr>
        <w:spacing w:after="0" w:line="161" w:lineRule="exact"/>
        <w:rPr>
          <w:rFonts w:ascii="Times New Roman" w:cs="Times New Roman" w:eastAsia="Times New Roman" w:hAnsi="Times New Roman"/>
          <w:sz w:val="20"/>
          <w:szCs w:val="20"/>
          <w:color w:val="auto"/>
        </w:rPr>
      </w:pPr>
    </w:p>
    <w:p>
      <w:pPr>
        <w:jc w:val="both"/>
        <w:ind w:left="480" w:hanging="383"/>
        <w:spacing w:after="0" w:line="217" w:lineRule="exact"/>
        <w:tabs>
          <w:tab w:leader="none" w:pos="480" w:val="left"/>
        </w:tabs>
        <w:numPr>
          <w:ilvl w:val="0"/>
          <w:numId w:val="3"/>
        </w:numPr>
        <w:rPr>
          <w:rFonts w:ascii="Times New Roman" w:cs="Times New Roman" w:eastAsia="Times New Roman" w:hAnsi="Times New Roman"/>
          <w:sz w:val="20"/>
          <w:szCs w:val="20"/>
          <w:color w:val="auto"/>
        </w:rPr>
      </w:pPr>
      <w:r>
        <w:rPr>
          <w:rFonts w:ascii="Arial" w:cs="Arial" w:eastAsia="Arial" w:hAnsi="Arial"/>
          <w:sz w:val="18"/>
          <w:szCs w:val="18"/>
          <w:b w:val="1"/>
          <w:bCs w:val="1"/>
          <w:i w:val="1"/>
          <w:iCs w:val="1"/>
          <w:color w:val="auto"/>
        </w:rPr>
        <w:t>Throughput volumes decreased 5% for oil terminaling and 9% for water gathering compared with the prior-year quarter, primarily due to lower production. Throughput volumes increased 1% for gas processing compared with the prior</w:t>
      </w:r>
      <w:r>
        <w:rPr>
          <w:rFonts w:ascii="MS PGothic" w:cs="MS PGothic" w:eastAsia="MS PGothic" w:hAnsi="MS PGothic"/>
          <w:sz w:val="18"/>
          <w:szCs w:val="18"/>
          <w:i w:val="1"/>
          <w:iCs w:val="1"/>
          <w:color w:val="auto"/>
        </w:rPr>
        <w:t>‑</w:t>
      </w:r>
      <w:r>
        <w:rPr>
          <w:rFonts w:ascii="Arial" w:cs="Arial" w:eastAsia="Arial" w:hAnsi="Arial"/>
          <w:sz w:val="18"/>
          <w:szCs w:val="18"/>
          <w:b w:val="1"/>
          <w:bCs w:val="1"/>
          <w:i w:val="1"/>
          <w:iCs w:val="1"/>
          <w:color w:val="auto"/>
        </w:rPr>
        <w:t>year quarter, primarily due to higher third-party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6856730</wp:posOffset>
            </wp:positionH>
            <wp:positionV relativeFrom="paragraph">
              <wp:posOffset>-222885</wp:posOffset>
            </wp:positionV>
            <wp:extent cx="64135"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Guidance:</w:t>
      </w:r>
    </w:p>
    <w:p>
      <w:pPr>
        <w:spacing w:after="0" w:line="65" w:lineRule="exact"/>
        <w:rPr>
          <w:sz w:val="20"/>
          <w:szCs w:val="20"/>
          <w:color w:val="auto"/>
        </w:rPr>
      </w:pPr>
    </w:p>
    <w:p>
      <w:pPr>
        <w:jc w:val="both"/>
        <w:ind w:left="480" w:hanging="383"/>
        <w:spacing w:after="0" w:line="243" w:lineRule="auto"/>
        <w:tabs>
          <w:tab w:leader="none" w:pos="480" w:val="left"/>
        </w:tabs>
        <w:numPr>
          <w:ilvl w:val="0"/>
          <w:numId w:val="4"/>
        </w:numPr>
        <w:rPr>
          <w:rFonts w:ascii="Times New Roman" w:cs="Times New Roman" w:eastAsia="Times New Roman" w:hAnsi="Times New Roman"/>
          <w:sz w:val="20"/>
          <w:szCs w:val="20"/>
          <w:color w:val="auto"/>
        </w:rPr>
      </w:pPr>
      <w:r>
        <w:rPr>
          <w:rFonts w:ascii="Arial" w:cs="Arial" w:eastAsia="Arial" w:hAnsi="Arial"/>
          <w:sz w:val="18"/>
          <w:szCs w:val="18"/>
          <w:b w:val="1"/>
          <w:bCs w:val="1"/>
          <w:i w:val="1"/>
          <w:iCs w:val="1"/>
          <w:color w:val="auto"/>
        </w:rPr>
        <w:t>Hess Midstream LP is updating its 2026 capital expenditures guidance to approximately $105 million and increasing its Adjusted Free Cash Flow guidance to $910 - $960 million as a result of lower capital expenditures and deferral of income tax payments.</w:t>
      </w:r>
    </w:p>
    <w:p>
      <w:pPr>
        <w:spacing w:after="0" w:line="144" w:lineRule="exact"/>
        <w:rPr>
          <w:rFonts w:ascii="Times New Roman" w:cs="Times New Roman" w:eastAsia="Times New Roman" w:hAnsi="Times New Roman"/>
          <w:sz w:val="20"/>
          <w:szCs w:val="20"/>
          <w:color w:val="auto"/>
        </w:rPr>
      </w:pPr>
    </w:p>
    <w:p>
      <w:pPr>
        <w:ind w:left="480" w:hanging="383"/>
        <w:spacing w:after="0"/>
        <w:tabs>
          <w:tab w:leader="none" w:pos="480" w:val="left"/>
        </w:tabs>
        <w:numPr>
          <w:ilvl w:val="0"/>
          <w:numId w:val="4"/>
        </w:numPr>
        <w:rPr>
          <w:rFonts w:ascii="Times New Roman" w:cs="Times New Roman" w:eastAsia="Times New Roman" w:hAnsi="Times New Roman"/>
          <w:sz w:val="20"/>
          <w:szCs w:val="20"/>
          <w:color w:val="auto"/>
        </w:rPr>
      </w:pPr>
      <w:r>
        <w:rPr>
          <w:rFonts w:ascii="Arial" w:cs="Arial" w:eastAsia="Arial" w:hAnsi="Arial"/>
          <w:sz w:val="18"/>
          <w:szCs w:val="18"/>
          <w:b w:val="1"/>
          <w:bCs w:val="1"/>
          <w:i w:val="1"/>
          <w:iCs w:val="1"/>
          <w:color w:val="auto"/>
        </w:rPr>
        <w:t>Hess Midstream LP is reaffirming its full year 2026 throughput, net income and Adjusted EBITDA guidance.</w:t>
      </w:r>
    </w:p>
    <w:p>
      <w:pPr>
        <w:spacing w:after="0" w:line="308" w:lineRule="exact"/>
        <w:rPr>
          <w:sz w:val="20"/>
          <w:szCs w:val="20"/>
          <w:color w:val="auto"/>
        </w:rPr>
      </w:pPr>
    </w:p>
    <w:p>
      <w:pPr>
        <w:jc w:val="both"/>
        <w:ind w:firstLine="374"/>
        <w:spacing w:after="0" w:line="244" w:lineRule="auto"/>
        <w:rPr>
          <w:sz w:val="20"/>
          <w:szCs w:val="20"/>
          <w:color w:val="auto"/>
        </w:rPr>
      </w:pPr>
      <w:r>
        <w:rPr>
          <w:rFonts w:ascii="Arial" w:cs="Arial" w:eastAsia="Arial" w:hAnsi="Arial"/>
          <w:sz w:val="18"/>
          <w:szCs w:val="18"/>
          <w:b w:val="1"/>
          <w:bCs w:val="1"/>
          <w:color w:val="auto"/>
        </w:rPr>
        <w:t>HOUSTON, May 4, 2026</w:t>
      </w:r>
      <w:r>
        <w:rPr>
          <w:rFonts w:ascii="Arial" w:cs="Arial" w:eastAsia="Arial" w:hAnsi="Arial"/>
          <w:sz w:val="18"/>
          <w:szCs w:val="18"/>
          <w:color w:val="auto"/>
        </w:rPr>
        <w:t>—Hess Midstream LP (NYSE: HESM) (“Hess Midstream” or the “Company”) today reported first quarter 2026</w:t>
      </w:r>
      <w:r>
        <w:rPr>
          <w:rFonts w:ascii="Arial" w:cs="Arial" w:eastAsia="Arial" w:hAnsi="Arial"/>
          <w:sz w:val="18"/>
          <w:szCs w:val="18"/>
          <w:b w:val="1"/>
          <w:bCs w:val="1"/>
          <w:color w:val="auto"/>
        </w:rPr>
        <w:t xml:space="preserve"> </w:t>
      </w:r>
      <w:r>
        <w:rPr>
          <w:rFonts w:ascii="Arial" w:cs="Arial" w:eastAsia="Arial" w:hAnsi="Arial"/>
          <w:sz w:val="18"/>
          <w:szCs w:val="18"/>
          <w:color w:val="auto"/>
        </w:rPr>
        <w:t>net income of $157.7 million compared with net income of $161.4 million for the first quarter of 2025. After deduction for noncontrolling interests, net income attributable to Hess Midstream was $87.6 million, or $0.68 basic earnings per Class A share, compared with $0.65 basic earnings per Class A share in the first quarter of 2025. Hess Midstream generated Adjusted EBITDA of $299.8 million. Net cash provided by operating activities was $253.3 million and Adjusted Free Cash Flow was $237.0 million.</w:t>
      </w:r>
    </w:p>
    <w:p>
      <w:pPr>
        <w:spacing w:after="0" w:line="101" w:lineRule="exact"/>
        <w:rPr>
          <w:sz w:val="20"/>
          <w:szCs w:val="20"/>
          <w:color w:val="auto"/>
        </w:rPr>
      </w:pPr>
    </w:p>
    <w:p>
      <w:pPr>
        <w:ind w:firstLine="8"/>
        <w:spacing w:after="0" w:line="199" w:lineRule="exact"/>
        <w:tabs>
          <w:tab w:leader="none" w:pos="169"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Adjusted EBITDA, Adjusted Free Cash Flow and Adjusted Free Cash Flow after Distributions are non</w:t>
      </w:r>
      <w:r>
        <w:rPr>
          <w:rFonts w:ascii="MS PGothic" w:cs="MS PGothic" w:eastAsia="MS PGothic" w:hAnsi="MS PGothic"/>
          <w:sz w:val="14"/>
          <w:szCs w:val="14"/>
          <w:color w:val="auto"/>
        </w:rPr>
        <w:t>‑</w:t>
      </w:r>
      <w:r>
        <w:rPr>
          <w:rFonts w:ascii="Arial" w:cs="Arial" w:eastAsia="Arial" w:hAnsi="Arial"/>
          <w:sz w:val="14"/>
          <w:szCs w:val="14"/>
          <w:color w:val="auto"/>
        </w:rPr>
        <w:t>GAAP measures. Definitions and reconciliations of these non</w:t>
      </w:r>
      <w:r>
        <w:rPr>
          <w:rFonts w:ascii="MS PGothic" w:cs="MS PGothic" w:eastAsia="MS PGothic" w:hAnsi="MS PGothic"/>
          <w:sz w:val="14"/>
          <w:szCs w:val="14"/>
          <w:color w:val="auto"/>
        </w:rPr>
        <w:t>‑</w:t>
      </w:r>
      <w:r>
        <w:rPr>
          <w:rFonts w:ascii="Arial" w:cs="Arial" w:eastAsia="Arial" w:hAnsi="Arial"/>
          <w:sz w:val="14"/>
          <w:szCs w:val="14"/>
          <w:color w:val="auto"/>
        </w:rPr>
        <w:t>GAAP measures to the most directly comparable GAAP reporting measures appear in the following pages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455295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jc w:val="both"/>
        <w:ind w:firstLine="374"/>
        <w:spacing w:after="0" w:line="253" w:lineRule="auto"/>
        <w:rPr>
          <w:sz w:val="20"/>
          <w:szCs w:val="20"/>
          <w:color w:val="auto"/>
        </w:rPr>
      </w:pPr>
      <w:r>
        <w:rPr>
          <w:rFonts w:ascii="Arial" w:cs="Arial" w:eastAsia="Arial" w:hAnsi="Arial"/>
          <w:sz w:val="18"/>
          <w:szCs w:val="18"/>
          <w:color w:val="auto"/>
        </w:rPr>
        <w:t>“In the first quarter, we continued to execute on our operational priorities and delivered on our financial strategy,” said Jonathan Stein, Chief Executive Officer of Hess Midstream. “We are focused on safe, reliable and efficient execution, and have lowered our expected capital spend for the year, supporting additional Adjusted Free Cash Flow for continued shareholder returns and debt repayment.”</w:t>
      </w:r>
    </w:p>
    <w:p>
      <w:pPr>
        <w:spacing w:after="0" w:line="61" w:lineRule="exact"/>
        <w:rPr>
          <w:sz w:val="20"/>
          <w:szCs w:val="20"/>
          <w:color w:val="auto"/>
        </w:rPr>
      </w:pPr>
    </w:p>
    <w:p>
      <w:pPr>
        <w:jc w:val="both"/>
        <w:ind w:firstLine="374"/>
        <w:spacing w:after="0" w:line="244" w:lineRule="auto"/>
        <w:rPr>
          <w:sz w:val="20"/>
          <w:szCs w:val="20"/>
          <w:color w:val="auto"/>
        </w:rPr>
      </w:pPr>
      <w:r>
        <w:rPr>
          <w:rFonts w:ascii="Arial" w:cs="Arial" w:eastAsia="Arial" w:hAnsi="Arial"/>
          <w:sz w:val="18"/>
          <w:szCs w:val="18"/>
          <w:color w:val="auto"/>
        </w:rPr>
        <w:t>Hess Midstream’s results contained in this release are consolidated to include the noncontrolling interests in Hess Midstream Operations LP (the “Partnership”) owned by our Sponsor. References to “Sponsor” or “Sponsors” refer to (a) Hess Corporation (“Hess”) and Global Infrastructure Partners when referring to periods prior to May 30, 2025, (b) Hess from May 30, 2025, to July 17, 2025, and (c) Chevron from July 18, 2025. We refer to certain results as “attributable to Hess Midstream LP,” which exclude the noncontrolling interests in the Partnership owned by the Sponsors.</w:t>
      </w:r>
    </w:p>
    <w:p>
      <w:pPr>
        <w:spacing w:after="0" w:line="68"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8"/>
          <w:szCs w:val="18"/>
          <w:color w:val="auto"/>
        </w:rPr>
        <w:t>As used in this news release, the term “Chevron” may refer to Chevron Corporation,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63" w:lineRule="exact"/>
        <w:rPr>
          <w:sz w:val="20"/>
          <w:szCs w:val="20"/>
          <w:color w:val="auto"/>
        </w:rPr>
      </w:pPr>
    </w:p>
    <w:p>
      <w:pPr>
        <w:jc w:val="both"/>
        <w:ind w:firstLine="374"/>
        <w:spacing w:after="0" w:line="214" w:lineRule="exact"/>
        <w:rPr>
          <w:sz w:val="20"/>
          <w:szCs w:val="20"/>
          <w:color w:val="auto"/>
        </w:rPr>
      </w:pPr>
      <w:r>
        <w:rPr>
          <w:rFonts w:ascii="Arial" w:cs="Arial" w:eastAsia="Arial" w:hAnsi="Arial"/>
          <w:sz w:val="18"/>
          <w:szCs w:val="18"/>
          <w:color w:val="auto"/>
        </w:rPr>
        <w:t>Revenues and other income in the first quarter of 2026 were $390.1 million compared with $382.0 million in the prior</w:t>
      </w:r>
      <w:r>
        <w:rPr>
          <w:rFonts w:ascii="MS PGothic" w:cs="MS PGothic" w:eastAsia="MS PGothic" w:hAnsi="MS PGothic"/>
          <w:sz w:val="18"/>
          <w:szCs w:val="18"/>
          <w:color w:val="auto"/>
        </w:rPr>
        <w:t>‑</w:t>
      </w:r>
      <w:r>
        <w:rPr>
          <w:rFonts w:ascii="Arial" w:cs="Arial" w:eastAsia="Arial" w:hAnsi="Arial"/>
          <w:sz w:val="18"/>
          <w:szCs w:val="18"/>
          <w:color w:val="auto"/>
        </w:rPr>
        <w:t xml:space="preserve"> year quarter. First quarter 2026 revenues included $30.6 million of pass-through electricity, produced water trucking and disposal costs and certain other fees compared with $25.5 million in the prior-year quarter. First quarter 2026 revenues and other income were up $8.1 million compared with the prior-year quarter, primarily due to higher tariff rates, third-party services and pass-through revenues, partially offset by lower throughput volumes. Total operating costs and expenses in the first quarter of 2026 were $152.0 million, up from $144.6 million in the prior-year quarter, primarily due to higher depreciation expense. Interest expense, net of interest income, in the first quarter of 2026 was $55.4 million, approximately flat compared with $56.4 million in the prior-year quarter.</w:t>
      </w:r>
    </w:p>
    <w:p>
      <w:pPr>
        <w:spacing w:after="0" w:line="74"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Net income for the first quarter of 2026 was $157.7 million, or $ 0.68 basic earnings per Class A share, after deduction for noncontrolling interests, compared with $0.65 basic earnings per Class A share in the prior-year quarter. Substantially all of income tax expense was attributed to earnings of Class A shares reflective of Hess Midstream’s organizational structure. Net cash provided by operating activities for the first quarter of 2026 was $253.3 million.</w:t>
      </w:r>
    </w:p>
    <w:p>
      <w:pPr>
        <w:spacing w:after="0" w:line="66" w:lineRule="exact"/>
        <w:rPr>
          <w:sz w:val="20"/>
          <w:szCs w:val="20"/>
          <w:color w:val="auto"/>
        </w:rPr>
      </w:pPr>
    </w:p>
    <w:p>
      <w:pPr>
        <w:jc w:val="both"/>
        <w:ind w:right="20" w:firstLine="374"/>
        <w:spacing w:after="0" w:line="271" w:lineRule="auto"/>
        <w:rPr>
          <w:sz w:val="20"/>
          <w:szCs w:val="20"/>
          <w:color w:val="auto"/>
        </w:rPr>
      </w:pPr>
      <w:r>
        <w:rPr>
          <w:rFonts w:ascii="Arial" w:cs="Arial" w:eastAsia="Arial" w:hAnsi="Arial"/>
          <w:sz w:val="18"/>
          <w:szCs w:val="18"/>
          <w:color w:val="auto"/>
        </w:rPr>
        <w:t>Adjusted EBITDA for the first quarter of 2026 was $299.8 million. Adjusted Free Cash Flow for the first quarter of 2026 was $237.0 million.</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 March 31, 2026, Hess Midstream had a drawn balance of $343.0 million on its revolving credit facility.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Highlights</w:t>
      </w:r>
    </w:p>
    <w:p>
      <w:pPr>
        <w:spacing w:after="0" w:line="104"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8"/>
          <w:szCs w:val="18"/>
          <w:color w:val="auto"/>
        </w:rPr>
        <w:t>Throughput volumes decreased 5% for oil terminaling and 9% for water gathering compared with the first quarter of 2025, primarily due to lower production as a result of lower new-well activity. Throughput volumes increased 1% for gas processing in the first quarter of 2026 compared with the first quarter of 2025, primarily due to higher third-party volumes.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63" w:lineRule="exact"/>
        <w:rPr>
          <w:sz w:val="20"/>
          <w:szCs w:val="20"/>
          <w:color w:val="auto"/>
        </w:rPr>
      </w:pPr>
    </w:p>
    <w:p>
      <w:pPr>
        <w:jc w:val="both"/>
        <w:ind w:firstLine="374"/>
        <w:spacing w:after="0" w:line="241" w:lineRule="exact"/>
        <w:rPr>
          <w:sz w:val="20"/>
          <w:szCs w:val="20"/>
          <w:color w:val="auto"/>
        </w:rPr>
      </w:pPr>
      <w:r>
        <w:rPr>
          <w:rFonts w:ascii="Arial" w:cs="Arial" w:eastAsia="Arial" w:hAnsi="Arial"/>
          <w:sz w:val="18"/>
          <w:szCs w:val="18"/>
          <w:color w:val="auto"/>
        </w:rPr>
        <w:t>Capital expenditures for the first quarter of 2026 totaled $10.4 million compared with $50.1 million in the prior</w:t>
      </w:r>
      <w:r>
        <w:rPr>
          <w:rFonts w:ascii="MS PGothic" w:cs="MS PGothic" w:eastAsia="MS PGothic" w:hAnsi="MS PGothic"/>
          <w:sz w:val="18"/>
          <w:szCs w:val="18"/>
          <w:color w:val="auto"/>
        </w:rPr>
        <w:t>‑</w:t>
      </w:r>
      <w:r>
        <w:rPr>
          <w:rFonts w:ascii="Arial" w:cs="Arial" w:eastAsia="Arial" w:hAnsi="Arial"/>
          <w:sz w:val="18"/>
          <w:szCs w:val="18"/>
          <w:color w:val="auto"/>
        </w:rPr>
        <w:t>year quarter, a 79% decrease resulting mainly from the completion of Hess Midstream's expansion of its gas compression capacity.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497840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Quarterly Cash Distributions</w:t>
      </w:r>
    </w:p>
    <w:p>
      <w:pPr>
        <w:spacing w:after="0" w:line="104" w:lineRule="exact"/>
        <w:rPr>
          <w:sz w:val="20"/>
          <w:szCs w:val="20"/>
          <w:color w:val="auto"/>
        </w:rPr>
      </w:pPr>
    </w:p>
    <w:p>
      <w:pPr>
        <w:jc w:val="both"/>
        <w:ind w:firstLine="374"/>
        <w:spacing w:after="0" w:line="244" w:lineRule="auto"/>
        <w:rPr>
          <w:sz w:val="20"/>
          <w:szCs w:val="20"/>
          <w:color w:val="auto"/>
        </w:rPr>
      </w:pPr>
      <w:r>
        <w:rPr>
          <w:rFonts w:ascii="Arial" w:cs="Arial" w:eastAsia="Arial" w:hAnsi="Arial"/>
          <w:sz w:val="18"/>
          <w:szCs w:val="18"/>
          <w:color w:val="auto"/>
        </w:rPr>
        <w:t>On April 27, 2026, the Board of Directors of Hess Midstream’s General Partner declared a quarterly cash distribution of $0.7792 per Class A share for the first quarter of 2026, an increase of $0.0151 per Class A share as compared with the fourth quarter of 2025. This increase is supported by the reduction in total Hess Midstream LP shares and Hess Midstream Operations LP units following the accretive repurchases in the first quarter of 2026. The distribution is expected to be paid on May 14, 2026, to shareholders of record as of the close of business on May 7, 2026.</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Updated Guidance</w:t>
      </w:r>
    </w:p>
    <w:p>
      <w:pPr>
        <w:spacing w:after="0" w:line="104" w:lineRule="exact"/>
        <w:rPr>
          <w:sz w:val="20"/>
          <w:szCs w:val="20"/>
          <w:color w:val="auto"/>
        </w:rPr>
      </w:pPr>
    </w:p>
    <w:p>
      <w:pPr>
        <w:jc w:val="both"/>
        <w:ind w:firstLine="374"/>
        <w:spacing w:after="0" w:line="232" w:lineRule="auto"/>
        <w:rPr>
          <w:sz w:val="20"/>
          <w:szCs w:val="20"/>
          <w:color w:val="auto"/>
        </w:rPr>
      </w:pPr>
      <w:r>
        <w:rPr>
          <w:rFonts w:ascii="Arial" w:cs="Arial" w:eastAsia="Arial" w:hAnsi="Arial"/>
          <w:sz w:val="18"/>
          <w:szCs w:val="18"/>
          <w:color w:val="auto"/>
        </w:rPr>
        <w:t>Hess Midstream now expects total capital expenditures of approximately $105 million in 2026. Hess Midstream no longer expects to pay income tax in 2026 and does not expect to pay material income taxes until after 2028 as a result of the recently issued Additional Interim Guidance Regarding the Application of the Corporate Alternative Minimum Tax. As a result, Hess Midstream is increasing its full year 2026 Adjusted Free Cash Flow guidance to $910 - $960 million and expects approximately $ 280 million Adjusted Free Cash Flow after Distributions</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at the midpoint of the updated guidance range after funding distributions that are targeted to grow at least 5% per annum on a distribution per Class A share basis. Hess Midstream continues to expect to generate approximately $ 1 billion of Adjusted Free Cash Flow after Distributions through 2028 that is expected to be available for incremental shareholder returns and debt repayment.</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Hess Midstream is reaffirming its full year 2026 throughput, net income and Adjusted EBITDA guidance.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jc w:val="center"/>
              <w:ind w:left="119"/>
              <w:spacing w:after="0"/>
              <w:rPr>
                <w:sz w:val="20"/>
                <w:szCs w:val="20"/>
                <w:color w:val="auto"/>
              </w:rPr>
            </w:pPr>
            <w:r>
              <w:rPr>
                <w:rFonts w:ascii="Arial" w:cs="Arial" w:eastAsia="Arial" w:hAnsi="Arial"/>
                <w:sz w:val="16"/>
                <w:szCs w:val="16"/>
                <w:b w:val="1"/>
                <w:bCs w:val="1"/>
                <w:color w:val="auto"/>
              </w:rPr>
              <w:t>Year Ending</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rPr>
              <w:t>December 31, 2026</w:t>
            </w: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vMerge w:val="restart"/>
          </w:tcPr>
          <w:p>
            <w:pPr>
              <w:spacing w:after="0"/>
              <w:rPr>
                <w:sz w:val="20"/>
                <w:szCs w:val="20"/>
                <w:color w:val="auto"/>
              </w:rPr>
            </w:pPr>
            <w:r>
              <w:rPr>
                <w:rFonts w:ascii="Arial" w:cs="Arial" w:eastAsia="Arial" w:hAnsi="Arial"/>
                <w:sz w:val="16"/>
                <w:szCs w:val="16"/>
                <w:b w:val="1"/>
                <w:bCs w:val="1"/>
                <w:color w:val="auto"/>
              </w:rPr>
              <w:t>Financials (</w:t>
            </w:r>
            <w:r>
              <w:rPr>
                <w:rFonts w:ascii="Arial" w:cs="Arial" w:eastAsia="Arial" w:hAnsi="Arial"/>
                <w:sz w:val="16"/>
                <w:szCs w:val="16"/>
                <w:b w:val="1"/>
                <w:bCs w:val="1"/>
                <w:i w:val="1"/>
                <w:iCs w:val="1"/>
                <w:color w:val="auto"/>
              </w:rPr>
              <w:t>in millions</w:t>
            </w:r>
            <w:r>
              <w:rPr>
                <w:rFonts w:ascii="Arial" w:cs="Arial" w:eastAsia="Arial" w:hAnsi="Arial"/>
                <w:sz w:val="16"/>
                <w:szCs w:val="16"/>
                <w:b w:val="1"/>
                <w:bCs w:val="1"/>
                <w:color w:val="auto"/>
              </w:rPr>
              <w:t>)</w:t>
            </w:r>
          </w:p>
        </w:tc>
        <w:tc>
          <w:tcPr>
            <w:tcW w:w="3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center"/>
              <w:ind w:left="119"/>
              <w:spacing w:after="0"/>
              <w:rPr>
                <w:sz w:val="20"/>
                <w:szCs w:val="20"/>
                <w:color w:val="auto"/>
              </w:rPr>
            </w:pPr>
            <w:r>
              <w:rPr>
                <w:rFonts w:ascii="Arial" w:cs="Arial" w:eastAsia="Arial" w:hAnsi="Arial"/>
                <w:sz w:val="16"/>
                <w:szCs w:val="16"/>
                <w:b w:val="1"/>
                <w:bCs w:val="1"/>
                <w:color w:val="auto"/>
              </w:rPr>
              <w:t>(Unaudited)</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5160" w:type="dxa"/>
            <w:vAlign w:val="bottom"/>
            <w:vMerge w:val="continue"/>
          </w:tcPr>
          <w:p>
            <w:pPr>
              <w:spacing w:after="0"/>
              <w:rPr>
                <w:sz w:val="12"/>
                <w:szCs w:val="12"/>
                <w:color w:val="auto"/>
              </w:rPr>
            </w:pPr>
          </w:p>
        </w:tc>
        <w:tc>
          <w:tcPr>
            <w:tcW w:w="3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160" w:type="dxa"/>
            <w:vAlign w:val="bottom"/>
          </w:tcPr>
          <w:p>
            <w:pPr>
              <w:spacing w:after="0"/>
              <w:rPr>
                <w:sz w:val="20"/>
                <w:szCs w:val="20"/>
                <w:color w:val="auto"/>
              </w:rPr>
            </w:pPr>
            <w:r>
              <w:rPr>
                <w:rFonts w:ascii="Arial" w:cs="Arial" w:eastAsia="Arial" w:hAnsi="Arial"/>
                <w:sz w:val="16"/>
                <w:szCs w:val="16"/>
                <w:color w:val="auto"/>
              </w:rPr>
              <w:t>Net income</w:t>
            </w:r>
          </w:p>
        </w:tc>
        <w:tc>
          <w:tcPr>
            <w:tcW w:w="3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40" w:type="dxa"/>
            <w:vAlign w:val="bottom"/>
            <w:gridSpan w:val="2"/>
          </w:tcPr>
          <w:p>
            <w:pPr>
              <w:jc w:val="right"/>
              <w:spacing w:after="0"/>
              <w:rPr>
                <w:sz w:val="20"/>
                <w:szCs w:val="20"/>
                <w:color w:val="auto"/>
              </w:rPr>
            </w:pPr>
            <w:r>
              <w:rPr>
                <w:rFonts w:ascii="Arial" w:cs="Arial" w:eastAsia="Arial" w:hAnsi="Arial"/>
                <w:sz w:val="16"/>
                <w:szCs w:val="16"/>
                <w:color w:val="auto"/>
              </w:rPr>
              <w:t>650 - 700</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20"/>
                <w:szCs w:val="20"/>
                <w:color w:val="auto"/>
              </w:rPr>
            </w:pPr>
            <w:r>
              <w:rPr>
                <w:rFonts w:ascii="Arial" w:cs="Arial" w:eastAsia="Arial" w:hAnsi="Arial"/>
                <w:sz w:val="16"/>
                <w:szCs w:val="16"/>
                <w:color w:val="auto"/>
              </w:rPr>
              <w:t>Adjusted EBITDA</w:t>
            </w:r>
          </w:p>
        </w:tc>
        <w:tc>
          <w:tcPr>
            <w:tcW w:w="3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1,225</w:t>
            </w:r>
          </w:p>
        </w:tc>
        <w:tc>
          <w:tcPr>
            <w:tcW w:w="540" w:type="dxa"/>
            <w:vAlign w:val="bottom"/>
          </w:tcPr>
          <w:p>
            <w:pPr>
              <w:jc w:val="right"/>
              <w:spacing w:after="0"/>
              <w:rPr>
                <w:sz w:val="20"/>
                <w:szCs w:val="20"/>
                <w:color w:val="auto"/>
              </w:rPr>
            </w:pPr>
            <w:r>
              <w:rPr>
                <w:rFonts w:ascii="Arial" w:cs="Arial" w:eastAsia="Arial" w:hAnsi="Arial"/>
                <w:sz w:val="16"/>
                <w:szCs w:val="16"/>
                <w:color w:val="auto"/>
              </w:rPr>
              <w:t>- 1,275</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20"/>
                <w:szCs w:val="20"/>
                <w:color w:val="auto"/>
              </w:rPr>
            </w:pPr>
            <w:r>
              <w:rPr>
                <w:rFonts w:ascii="Arial" w:cs="Arial" w:eastAsia="Arial" w:hAnsi="Arial"/>
                <w:sz w:val="16"/>
                <w:szCs w:val="16"/>
                <w:color w:val="auto"/>
              </w:rPr>
              <w:t>Capital expenditures</w:t>
            </w:r>
          </w:p>
        </w:tc>
        <w:tc>
          <w:tcPr>
            <w:tcW w:w="3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5"/>
        </w:trPr>
        <w:tc>
          <w:tcPr>
            <w:tcW w:w="5160" w:type="dxa"/>
            <w:vAlign w:val="bottom"/>
          </w:tcPr>
          <w:p>
            <w:pPr>
              <w:spacing w:after="0"/>
              <w:rPr>
                <w:sz w:val="20"/>
                <w:szCs w:val="20"/>
                <w:color w:val="auto"/>
              </w:rPr>
            </w:pPr>
            <w:r>
              <w:rPr>
                <w:rFonts w:ascii="Arial" w:cs="Arial" w:eastAsia="Arial" w:hAnsi="Arial"/>
                <w:sz w:val="16"/>
                <w:szCs w:val="16"/>
                <w:color w:val="auto"/>
              </w:rPr>
              <w:t>Adjusted free cash flow</w:t>
            </w:r>
          </w:p>
        </w:tc>
        <w:tc>
          <w:tcPr>
            <w:tcW w:w="3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40" w:type="dxa"/>
            <w:vAlign w:val="bottom"/>
            <w:gridSpan w:val="2"/>
          </w:tcPr>
          <w:p>
            <w:pPr>
              <w:jc w:val="right"/>
              <w:spacing w:after="0"/>
              <w:rPr>
                <w:sz w:val="20"/>
                <w:szCs w:val="20"/>
                <w:color w:val="auto"/>
              </w:rPr>
            </w:pPr>
            <w:r>
              <w:rPr>
                <w:rFonts w:ascii="Arial" w:cs="Arial" w:eastAsia="Arial" w:hAnsi="Arial"/>
                <w:sz w:val="16"/>
                <w:szCs w:val="16"/>
                <w:color w:val="auto"/>
              </w:rPr>
              <w:t>910 - 960</w:t>
            </w:r>
          </w:p>
        </w:tc>
        <w:tc>
          <w:tcPr>
            <w:tcW w:w="0" w:type="dxa"/>
            <w:vAlign w:val="bottom"/>
          </w:tcPr>
          <w:p>
            <w:pPr>
              <w:spacing w:after="0"/>
              <w:rPr>
                <w:sz w:val="1"/>
                <w:szCs w:val="1"/>
                <w:color w:val="auto"/>
              </w:rPr>
            </w:pP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12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rPr>
              <w:t>Year Ending</w:t>
            </w:r>
          </w:p>
        </w:tc>
        <w:tc>
          <w:tcPr>
            <w:tcW w:w="0" w:type="dxa"/>
            <w:vAlign w:val="bottom"/>
          </w:tcPr>
          <w:p>
            <w:pPr>
              <w:spacing w:after="0"/>
              <w:rPr>
                <w:sz w:val="1"/>
                <w:szCs w:val="1"/>
                <w:color w:val="auto"/>
              </w:rPr>
            </w:pPr>
          </w:p>
        </w:tc>
      </w:tr>
      <w:tr>
        <w:trPr>
          <w:trHeight w:val="203"/>
        </w:trPr>
        <w:tc>
          <w:tcPr>
            <w:tcW w:w="9120" w:type="dxa"/>
            <w:vAlign w:val="bottom"/>
          </w:tcPr>
          <w:p>
            <w:pPr>
              <w:spacing w:after="0"/>
              <w:rPr>
                <w:sz w:val="17"/>
                <w:szCs w:val="17"/>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December 31, 2026</w:t>
            </w:r>
          </w:p>
        </w:tc>
        <w:tc>
          <w:tcPr>
            <w:tcW w:w="0" w:type="dxa"/>
            <w:vAlign w:val="bottom"/>
          </w:tcPr>
          <w:p>
            <w:pPr>
              <w:spacing w:after="0"/>
              <w:rPr>
                <w:sz w:val="1"/>
                <w:szCs w:val="1"/>
                <w:color w:val="auto"/>
              </w:rPr>
            </w:pPr>
          </w:p>
        </w:tc>
      </w:tr>
      <w:tr>
        <w:trPr>
          <w:trHeight w:val="183"/>
        </w:trPr>
        <w:tc>
          <w:tcPr>
            <w:tcW w:w="9120" w:type="dxa"/>
            <w:vAlign w:val="bottom"/>
            <w:vMerge w:val="restart"/>
          </w:tcPr>
          <w:p>
            <w:pPr>
              <w:spacing w:after="0"/>
              <w:rPr>
                <w:sz w:val="20"/>
                <w:szCs w:val="20"/>
                <w:color w:val="auto"/>
              </w:rPr>
            </w:pPr>
            <w:r>
              <w:rPr>
                <w:rFonts w:ascii="Arial" w:cs="Arial" w:eastAsia="Arial" w:hAnsi="Arial"/>
                <w:sz w:val="16"/>
                <w:szCs w:val="16"/>
                <w:b w:val="1"/>
                <w:bCs w:val="1"/>
                <w:color w:val="auto"/>
              </w:rPr>
              <w:t>Throughput volumes</w:t>
            </w:r>
          </w:p>
        </w:tc>
        <w:tc>
          <w:tcPr>
            <w:tcW w:w="21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168"/>
        </w:trPr>
        <w:tc>
          <w:tcPr>
            <w:tcW w:w="9120" w:type="dxa"/>
            <w:vAlign w:val="bottom"/>
            <w:vMerge w:val="continue"/>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120" w:type="dxa"/>
            <w:vAlign w:val="bottom"/>
          </w:tcPr>
          <w:p>
            <w:pPr>
              <w:spacing w:after="0"/>
              <w:rPr>
                <w:sz w:val="20"/>
                <w:szCs w:val="20"/>
                <w:color w:val="auto"/>
              </w:rPr>
            </w:pPr>
            <w:r>
              <w:rPr>
                <w:rFonts w:ascii="Arial" w:cs="Arial" w:eastAsia="Arial" w:hAnsi="Arial"/>
                <w:sz w:val="16"/>
                <w:szCs w:val="16"/>
                <w:color w:val="auto"/>
              </w:rPr>
              <w:t>Gas gathering - MMcf of natural gas per day</w:t>
            </w:r>
          </w:p>
        </w:tc>
        <w:tc>
          <w:tcPr>
            <w:tcW w:w="2120" w:type="dxa"/>
            <w:vAlign w:val="bottom"/>
          </w:tcPr>
          <w:p>
            <w:pPr>
              <w:jc w:val="right"/>
              <w:spacing w:after="0"/>
              <w:rPr>
                <w:sz w:val="20"/>
                <w:szCs w:val="20"/>
                <w:color w:val="auto"/>
              </w:rPr>
            </w:pPr>
            <w:r>
              <w:rPr>
                <w:rFonts w:ascii="Arial" w:cs="Arial" w:eastAsia="Arial" w:hAnsi="Arial"/>
                <w:sz w:val="16"/>
                <w:szCs w:val="16"/>
                <w:color w:val="auto"/>
              </w:rPr>
              <w:t>450 - 460</w:t>
            </w:r>
          </w:p>
        </w:tc>
        <w:tc>
          <w:tcPr>
            <w:tcW w:w="0" w:type="dxa"/>
            <w:vAlign w:val="bottom"/>
          </w:tcPr>
          <w:p>
            <w:pPr>
              <w:spacing w:after="0"/>
              <w:rPr>
                <w:sz w:val="1"/>
                <w:szCs w:val="1"/>
                <w:color w:val="auto"/>
              </w:rPr>
            </w:pPr>
          </w:p>
        </w:tc>
      </w:tr>
      <w:tr>
        <w:trPr>
          <w:trHeight w:val="189"/>
        </w:trPr>
        <w:tc>
          <w:tcPr>
            <w:tcW w:w="9120" w:type="dxa"/>
            <w:vAlign w:val="bottom"/>
          </w:tcPr>
          <w:p>
            <w:pPr>
              <w:spacing w:after="0"/>
              <w:rPr>
                <w:sz w:val="20"/>
                <w:szCs w:val="20"/>
                <w:color w:val="auto"/>
              </w:rPr>
            </w:pPr>
            <w:r>
              <w:rPr>
                <w:rFonts w:ascii="Arial" w:cs="Arial" w:eastAsia="Arial" w:hAnsi="Arial"/>
                <w:sz w:val="16"/>
                <w:szCs w:val="16"/>
                <w:color w:val="auto"/>
              </w:rPr>
              <w:t>Crude oil gathering - MBbl of crude oil per day</w:t>
            </w:r>
          </w:p>
        </w:tc>
        <w:tc>
          <w:tcPr>
            <w:tcW w:w="2120" w:type="dxa"/>
            <w:vAlign w:val="bottom"/>
          </w:tcPr>
          <w:p>
            <w:pPr>
              <w:jc w:val="right"/>
              <w:spacing w:after="0"/>
              <w:rPr>
                <w:sz w:val="20"/>
                <w:szCs w:val="20"/>
                <w:color w:val="auto"/>
              </w:rPr>
            </w:pPr>
            <w:r>
              <w:rPr>
                <w:rFonts w:ascii="Arial" w:cs="Arial" w:eastAsia="Arial" w:hAnsi="Arial"/>
                <w:sz w:val="16"/>
                <w:szCs w:val="16"/>
                <w:color w:val="auto"/>
              </w:rPr>
              <w:t>115 - 125</w:t>
            </w:r>
          </w:p>
        </w:tc>
        <w:tc>
          <w:tcPr>
            <w:tcW w:w="0" w:type="dxa"/>
            <w:vAlign w:val="bottom"/>
          </w:tcPr>
          <w:p>
            <w:pPr>
              <w:spacing w:after="0"/>
              <w:rPr>
                <w:sz w:val="1"/>
                <w:szCs w:val="1"/>
                <w:color w:val="auto"/>
              </w:rPr>
            </w:pPr>
          </w:p>
        </w:tc>
      </w:tr>
      <w:tr>
        <w:trPr>
          <w:trHeight w:val="189"/>
        </w:trPr>
        <w:tc>
          <w:tcPr>
            <w:tcW w:w="9120" w:type="dxa"/>
            <w:vAlign w:val="bottom"/>
          </w:tcPr>
          <w:p>
            <w:pPr>
              <w:spacing w:after="0"/>
              <w:rPr>
                <w:sz w:val="20"/>
                <w:szCs w:val="20"/>
                <w:color w:val="auto"/>
              </w:rPr>
            </w:pPr>
            <w:r>
              <w:rPr>
                <w:rFonts w:ascii="Arial" w:cs="Arial" w:eastAsia="Arial" w:hAnsi="Arial"/>
                <w:sz w:val="16"/>
                <w:szCs w:val="16"/>
                <w:color w:val="auto"/>
              </w:rPr>
              <w:t>Gas processing - MMcf of natural gas per day</w:t>
            </w:r>
          </w:p>
        </w:tc>
        <w:tc>
          <w:tcPr>
            <w:tcW w:w="2120" w:type="dxa"/>
            <w:vAlign w:val="bottom"/>
          </w:tcPr>
          <w:p>
            <w:pPr>
              <w:jc w:val="right"/>
              <w:spacing w:after="0"/>
              <w:rPr>
                <w:sz w:val="20"/>
                <w:szCs w:val="20"/>
                <w:color w:val="auto"/>
              </w:rPr>
            </w:pPr>
            <w:r>
              <w:rPr>
                <w:rFonts w:ascii="Arial" w:cs="Arial" w:eastAsia="Arial" w:hAnsi="Arial"/>
                <w:sz w:val="16"/>
                <w:szCs w:val="16"/>
                <w:color w:val="auto"/>
              </w:rPr>
              <w:t>435 - 445</w:t>
            </w:r>
          </w:p>
        </w:tc>
        <w:tc>
          <w:tcPr>
            <w:tcW w:w="0" w:type="dxa"/>
            <w:vAlign w:val="bottom"/>
          </w:tcPr>
          <w:p>
            <w:pPr>
              <w:spacing w:after="0"/>
              <w:rPr>
                <w:sz w:val="1"/>
                <w:szCs w:val="1"/>
                <w:color w:val="auto"/>
              </w:rPr>
            </w:pPr>
          </w:p>
        </w:tc>
      </w:tr>
      <w:tr>
        <w:trPr>
          <w:trHeight w:val="189"/>
        </w:trPr>
        <w:tc>
          <w:tcPr>
            <w:tcW w:w="9120" w:type="dxa"/>
            <w:vAlign w:val="bottom"/>
          </w:tcPr>
          <w:p>
            <w:pPr>
              <w:spacing w:after="0"/>
              <w:rPr>
                <w:sz w:val="20"/>
                <w:szCs w:val="20"/>
                <w:color w:val="auto"/>
              </w:rPr>
            </w:pPr>
            <w:r>
              <w:rPr>
                <w:rFonts w:ascii="Arial" w:cs="Arial" w:eastAsia="Arial" w:hAnsi="Arial"/>
                <w:sz w:val="16"/>
                <w:szCs w:val="16"/>
                <w:color w:val="auto"/>
              </w:rPr>
              <w:t>Crude terminals - MBbl of crude oil per day</w:t>
            </w:r>
          </w:p>
        </w:tc>
        <w:tc>
          <w:tcPr>
            <w:tcW w:w="2120" w:type="dxa"/>
            <w:vAlign w:val="bottom"/>
          </w:tcPr>
          <w:p>
            <w:pPr>
              <w:jc w:val="right"/>
              <w:spacing w:after="0"/>
              <w:rPr>
                <w:sz w:val="20"/>
                <w:szCs w:val="20"/>
                <w:color w:val="auto"/>
              </w:rPr>
            </w:pPr>
            <w:r>
              <w:rPr>
                <w:rFonts w:ascii="Arial" w:cs="Arial" w:eastAsia="Arial" w:hAnsi="Arial"/>
                <w:sz w:val="16"/>
                <w:szCs w:val="16"/>
                <w:color w:val="auto"/>
              </w:rPr>
              <w:t>125 - 135</w:t>
            </w:r>
          </w:p>
        </w:tc>
        <w:tc>
          <w:tcPr>
            <w:tcW w:w="0" w:type="dxa"/>
            <w:vAlign w:val="bottom"/>
          </w:tcPr>
          <w:p>
            <w:pPr>
              <w:spacing w:after="0"/>
              <w:rPr>
                <w:sz w:val="1"/>
                <w:szCs w:val="1"/>
                <w:color w:val="auto"/>
              </w:rPr>
            </w:pPr>
          </w:p>
        </w:tc>
      </w:tr>
      <w:tr>
        <w:trPr>
          <w:trHeight w:val="215"/>
        </w:trPr>
        <w:tc>
          <w:tcPr>
            <w:tcW w:w="9120" w:type="dxa"/>
            <w:vAlign w:val="bottom"/>
          </w:tcPr>
          <w:p>
            <w:pPr>
              <w:spacing w:after="0"/>
              <w:rPr>
                <w:sz w:val="20"/>
                <w:szCs w:val="20"/>
                <w:color w:val="auto"/>
              </w:rPr>
            </w:pPr>
            <w:r>
              <w:rPr>
                <w:rFonts w:ascii="Arial" w:cs="Arial" w:eastAsia="Arial" w:hAnsi="Arial"/>
                <w:sz w:val="16"/>
                <w:szCs w:val="16"/>
                <w:color w:val="auto"/>
              </w:rPr>
              <w:t>Water gathering - MBbl of water per day</w:t>
            </w:r>
          </w:p>
        </w:tc>
        <w:tc>
          <w:tcPr>
            <w:tcW w:w="2120" w:type="dxa"/>
            <w:vAlign w:val="bottom"/>
          </w:tcPr>
          <w:p>
            <w:pPr>
              <w:jc w:val="right"/>
              <w:spacing w:after="0"/>
              <w:rPr>
                <w:sz w:val="20"/>
                <w:szCs w:val="20"/>
                <w:color w:val="auto"/>
              </w:rPr>
            </w:pPr>
            <w:r>
              <w:rPr>
                <w:rFonts w:ascii="Arial" w:cs="Arial" w:eastAsia="Arial" w:hAnsi="Arial"/>
                <w:sz w:val="16"/>
                <w:szCs w:val="16"/>
                <w:color w:val="auto"/>
              </w:rPr>
              <w:t>125 - 135</w:t>
            </w:r>
          </w:p>
        </w:tc>
        <w:tc>
          <w:tcPr>
            <w:tcW w:w="0" w:type="dxa"/>
            <w:vAlign w:val="bottom"/>
          </w:tcPr>
          <w:p>
            <w:pPr>
              <w:spacing w:after="0"/>
              <w:rPr>
                <w:sz w:val="1"/>
                <w:szCs w:val="1"/>
                <w:color w:val="auto"/>
              </w:rPr>
            </w:pP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497840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Investor Webcast</w:t>
      </w:r>
    </w:p>
    <w:p>
      <w:pPr>
        <w:spacing w:after="0" w:line="104" w:lineRule="exact"/>
        <w:rPr>
          <w:sz w:val="20"/>
          <w:szCs w:val="20"/>
          <w:color w:val="auto"/>
        </w:rPr>
      </w:pPr>
    </w:p>
    <w:p>
      <w:pPr>
        <w:jc w:val="both"/>
        <w:ind w:right="20" w:firstLine="374"/>
        <w:spacing w:after="0" w:line="271" w:lineRule="auto"/>
        <w:rPr>
          <w:sz w:val="20"/>
          <w:szCs w:val="20"/>
          <w:color w:val="auto"/>
        </w:rPr>
      </w:pPr>
      <w:r>
        <w:rPr>
          <w:rFonts w:ascii="Arial" w:cs="Arial" w:eastAsia="Arial" w:hAnsi="Arial"/>
          <w:sz w:val="18"/>
          <w:szCs w:val="18"/>
          <w:color w:val="auto"/>
        </w:rPr>
        <w:t>Hess Midstream will review first quarter financial and operating results and other matters on a webcast today at 10:00 a.m. Eastern Time. For details about the event, refer to www.hessmidstream.com.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Hess Midstream</w:t>
      </w:r>
    </w:p>
    <w:p>
      <w:pPr>
        <w:spacing w:after="0" w:line="63" w:lineRule="exact"/>
        <w:rPr>
          <w:sz w:val="20"/>
          <w:szCs w:val="20"/>
          <w:color w:val="auto"/>
        </w:rPr>
      </w:pPr>
    </w:p>
    <w:p>
      <w:pPr>
        <w:jc w:val="both"/>
        <w:ind w:firstLine="374"/>
        <w:spacing w:after="0" w:line="224" w:lineRule="exact"/>
        <w:rPr>
          <w:sz w:val="20"/>
          <w:szCs w:val="20"/>
          <w:color w:val="auto"/>
        </w:rPr>
      </w:pPr>
      <w:r>
        <w:rPr>
          <w:rFonts w:ascii="Arial" w:cs="Arial" w:eastAsia="Arial" w:hAnsi="Arial"/>
          <w:sz w:val="18"/>
          <w:szCs w:val="18"/>
          <w:color w:val="auto"/>
        </w:rPr>
        <w:t>Hess Midstream LP is a fee</w:t>
      </w:r>
      <w:r>
        <w:rPr>
          <w:rFonts w:ascii="MS PGothic" w:cs="MS PGothic" w:eastAsia="MS PGothic" w:hAnsi="MS PGothic"/>
          <w:sz w:val="18"/>
          <w:szCs w:val="18"/>
          <w:color w:val="auto"/>
        </w:rPr>
        <w:t>‑</w:t>
      </w:r>
      <w:r>
        <w:rPr>
          <w:rFonts w:ascii="Arial" w:cs="Arial" w:eastAsia="Arial" w:hAnsi="Arial"/>
          <w:sz w:val="18"/>
          <w:szCs w:val="18"/>
          <w:color w:val="auto"/>
        </w:rPr>
        <w:t>based, growth-oriented midstream company that owns, operates, develops and acquires a diverse set of midstream assets to provide services to Chevron, its subsidiaries, and third</w:t>
      </w:r>
      <w:r>
        <w:rPr>
          <w:rFonts w:ascii="MS PGothic" w:cs="MS PGothic" w:eastAsia="MS PGothic" w:hAnsi="MS PGothic"/>
          <w:sz w:val="18"/>
          <w:szCs w:val="18"/>
          <w:color w:val="auto"/>
        </w:rPr>
        <w:t>‑</w:t>
      </w:r>
      <w:r>
        <w:rPr>
          <w:rFonts w:ascii="Arial" w:cs="Arial" w:eastAsia="Arial" w:hAnsi="Arial"/>
          <w:sz w:val="18"/>
          <w:szCs w:val="18"/>
          <w:color w:val="auto"/>
        </w:rPr>
        <w:t xml:space="preserve">party customers. Hess Midstream owns oil, gas and produced water handling assets that are primarily located in the Bakken and Three Forks Shale plays in the Williston Basin area of North Dakota. More information is available at </w:t>
      </w:r>
      <w:r>
        <w:rPr>
          <w:rFonts w:ascii="Arial" w:cs="Arial" w:eastAsia="Arial" w:hAnsi="Arial"/>
          <w:sz w:val="18"/>
          <w:szCs w:val="18"/>
          <w:b w:val="1"/>
          <w:bCs w:val="1"/>
          <w:color w:val="auto"/>
        </w:rPr>
        <w:t>www.hessmidstream.com</w:t>
      </w:r>
      <w:r>
        <w:rPr>
          <w:rFonts w:ascii="Arial" w:cs="Arial" w:eastAsia="Arial" w:hAnsi="Arial"/>
          <w:sz w:val="18"/>
          <w:szCs w:val="18"/>
          <w:color w:val="auto"/>
        </w:rPr>
        <w:t>.</w:t>
      </w:r>
    </w:p>
    <w:p>
      <w:pPr>
        <w:spacing w:after="0" w:line="2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Non</w:t>
      </w:r>
      <w:r>
        <w:rPr>
          <w:rFonts w:ascii="MS PGothic" w:cs="MS PGothic" w:eastAsia="MS PGothic" w:hAnsi="MS PGothic"/>
          <w:sz w:val="18"/>
          <w:szCs w:val="18"/>
          <w:color w:val="auto"/>
          <w:strike w:val="1"/>
        </w:rPr>
        <w:t>‑</w:t>
      </w:r>
      <w:r>
        <w:rPr>
          <w:rFonts w:ascii="Arial" w:cs="Arial" w:eastAsia="Arial" w:hAnsi="Arial"/>
          <w:sz w:val="18"/>
          <w:szCs w:val="18"/>
          <w:b w:val="1"/>
          <w:bCs w:val="1"/>
          <w:color w:val="auto"/>
        </w:rPr>
        <w:t>GAAP Measures</w:t>
      </w:r>
    </w:p>
    <w:p>
      <w:pPr>
        <w:spacing w:after="0" w:line="144" w:lineRule="exact"/>
        <w:rPr>
          <w:sz w:val="20"/>
          <w:szCs w:val="20"/>
          <w:color w:val="auto"/>
        </w:rPr>
      </w:pPr>
    </w:p>
    <w:p>
      <w:pPr>
        <w:jc w:val="both"/>
        <w:ind w:firstLine="374"/>
        <w:spacing w:after="0" w:line="205" w:lineRule="exact"/>
        <w:rPr>
          <w:sz w:val="20"/>
          <w:szCs w:val="20"/>
          <w:color w:val="auto"/>
        </w:rPr>
      </w:pPr>
      <w:r>
        <w:rPr>
          <w:rFonts w:ascii="Arial" w:cs="Arial" w:eastAsia="Arial" w:hAnsi="Arial"/>
          <w:sz w:val="18"/>
          <w:szCs w:val="18"/>
          <w:color w:val="auto"/>
        </w:rPr>
        <w:t>In addition to our financial information presented in accordance with U.S. generally accepted accounting principles (“GAAP”), management utilizes certain additional non</w:t>
      </w:r>
      <w:r>
        <w:rPr>
          <w:rFonts w:ascii="MS PGothic" w:cs="MS PGothic" w:eastAsia="MS PGothic" w:hAnsi="MS PGothic"/>
          <w:sz w:val="18"/>
          <w:szCs w:val="18"/>
          <w:color w:val="auto"/>
        </w:rPr>
        <w:t>‑</w:t>
      </w:r>
      <w:r>
        <w:rPr>
          <w:rFonts w:ascii="Arial" w:cs="Arial" w:eastAsia="Arial" w:hAnsi="Arial"/>
          <w:sz w:val="18"/>
          <w:szCs w:val="18"/>
          <w:color w:val="auto"/>
        </w:rPr>
        <w:t>GAAP measures to facilitate comparisons of past performance and future periods. We define “Adjusted EBITDA” as reported net income (loss) before net interest expense, income tax expense (benefit), and depreciation and amortization, as further adjusted to eliminate the impact of certain items that we do not consider indicative of our ongoing operating performance, such as transaction costs, other income and other non</w:t>
      </w:r>
      <w:r>
        <w:rPr>
          <w:rFonts w:ascii="MS PGothic" w:cs="MS PGothic" w:eastAsia="MS PGothic" w:hAnsi="MS PGothic"/>
          <w:sz w:val="18"/>
          <w:szCs w:val="18"/>
          <w:color w:val="auto"/>
        </w:rPr>
        <w:t>‑</w:t>
      </w:r>
      <w:r>
        <w:rPr>
          <w:rFonts w:ascii="Arial" w:cs="Arial" w:eastAsia="Arial" w:hAnsi="Arial"/>
          <w:sz w:val="18"/>
          <w:szCs w:val="18"/>
          <w:color w:val="auto"/>
        </w:rPr>
        <w:t>cash and non</w:t>
      </w:r>
      <w:r>
        <w:rPr>
          <w:rFonts w:ascii="MS PGothic" w:cs="MS PGothic" w:eastAsia="MS PGothic" w:hAnsi="MS PGothic"/>
          <w:sz w:val="18"/>
          <w:szCs w:val="18"/>
          <w:color w:val="auto"/>
        </w:rPr>
        <w:t>‑</w:t>
      </w:r>
      <w:r>
        <w:rPr>
          <w:rFonts w:ascii="Arial" w:cs="Arial" w:eastAsia="Arial" w:hAnsi="Arial"/>
          <w:sz w:val="18"/>
          <w:szCs w:val="18"/>
          <w:color w:val="auto"/>
        </w:rPr>
        <w:t>recurring items, if applicable. We define “Adjusted Free Cash Flow” as Adjusted EBITDA less net interest, excluding amortization of deferred financing costs, cash paid for federal and state income taxes, capital expenditures and ongoing contributions to equity investments. We define “Adjusted Free Cash Flow after Distributions” as Adjusted Free Cash Flow less cash distributions to shareholders and to noncontrolling interest. We define “Gross Adjusted EBITDA Margin” as the ratio of Adjusted EBITDA to total revenues, less pass-through revenues. We believe that investors’ understanding of our performance is enhanced by disclosing these measures as they may assist in assessing our operating performance as compared to other publicly traded companies in the midstream energy industry, without regard to historical cost basis or, in the case of Adjusted EBITDA, financing methods, and assessing the ability of our assets to generate sufficient cash flow to make distributions to our shareholders. These measures are not, and should not be viewed as, a substitute for GAAP net income or cash flow from operating activities and should not be considered in isolation. Reconciliations of Adjusted EBITDA, Adjusted Free Cash Flow and Gross Adjusted EBITDA Margin to reported net income (GAAP), net cash provided by operating activities (GAAP) and gross margin (GAAP), respectively, are provided below. Hess Midstream is unable to project net cash provided by operating activities with a reasonable degree of accuracy because this metric includes the impact of changes in operating assets and liabilities related to the timing of cash receipts and disbursements that may not relate to the period in which the operating activities occur. Therefore, Hess Midstream is unable to provide projected net cash provided by operating activities, or the related reconciliation of projected Adjusted Free Cash Flow to projected net cash provided by operating activities without unreasonable effort.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497840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20" w:type="dxa"/>
            <w:vAlign w:val="bottom"/>
            <w:gridSpan w:val="4"/>
          </w:tcPr>
          <w:p>
            <w:pPr>
              <w:jc w:val="right"/>
              <w:ind w:right="44"/>
              <w:spacing w:after="0"/>
              <w:rPr>
                <w:sz w:val="20"/>
                <w:szCs w:val="20"/>
                <w:color w:val="auto"/>
              </w:rPr>
            </w:pPr>
            <w:r>
              <w:rPr>
                <w:rFonts w:ascii="Arial" w:cs="Arial" w:eastAsia="Arial" w:hAnsi="Arial"/>
                <w:sz w:val="16"/>
                <w:szCs w:val="16"/>
                <w:b w:val="1"/>
                <w:bCs w:val="1"/>
                <w:color w:val="auto"/>
              </w:rPr>
              <w:t>First Quarter</w:t>
            </w: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4"/>
          </w:tcPr>
          <w:p>
            <w:pPr>
              <w:jc w:val="right"/>
              <w:ind w:right="84"/>
              <w:spacing w:after="0"/>
              <w:rPr>
                <w:sz w:val="20"/>
                <w:szCs w:val="20"/>
                <w:color w:val="auto"/>
              </w:rPr>
            </w:pPr>
            <w:r>
              <w:rPr>
                <w:rFonts w:ascii="Arial" w:cs="Arial" w:eastAsia="Arial" w:hAnsi="Arial"/>
                <w:sz w:val="16"/>
                <w:szCs w:val="16"/>
                <w:b w:val="1"/>
                <w:bCs w:val="1"/>
                <w:color w:val="auto"/>
              </w:rPr>
              <w:t>(unaudited)</w:t>
            </w:r>
          </w:p>
        </w:tc>
        <w:tc>
          <w:tcPr>
            <w:tcW w:w="10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bottom w:val="single" w:sz="8" w:color="auto"/>
            </w:tcBorders>
          </w:tcPr>
          <w:p>
            <w:pPr>
              <w:jc w:val="right"/>
              <w:ind w:right="42"/>
              <w:spacing w:after="0" w:line="183" w:lineRule="exact"/>
              <w:rPr>
                <w:sz w:val="20"/>
                <w:szCs w:val="20"/>
                <w:color w:val="auto"/>
              </w:rPr>
            </w:pPr>
            <w:r>
              <w:rPr>
                <w:rFonts w:ascii="Arial" w:cs="Arial" w:eastAsia="Arial" w:hAnsi="Arial"/>
                <w:sz w:val="16"/>
                <w:szCs w:val="16"/>
                <w:b w:val="1"/>
                <w:bCs w:val="1"/>
                <w:color w:val="auto"/>
              </w:rPr>
              <w:t>2026</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7"/>
        </w:trPr>
        <w:tc>
          <w:tcPr>
            <w:tcW w:w="7860" w:type="dxa"/>
            <w:vAlign w:val="bottom"/>
          </w:tcPr>
          <w:p>
            <w:pPr>
              <w:spacing w:after="0"/>
              <w:rPr>
                <w:sz w:val="20"/>
                <w:szCs w:val="20"/>
                <w:color w:val="auto"/>
              </w:rPr>
            </w:pPr>
            <w:r>
              <w:rPr>
                <w:rFonts w:ascii="Arial" w:cs="Arial" w:eastAsia="Arial" w:hAnsi="Arial"/>
                <w:sz w:val="16"/>
                <w:szCs w:val="16"/>
                <w:i w:val="1"/>
                <w:iCs w:val="1"/>
                <w:color w:val="auto"/>
              </w:rPr>
              <w:t>(in millions)</w:t>
            </w: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860" w:type="dxa"/>
            <w:vAlign w:val="bottom"/>
          </w:tcPr>
          <w:p>
            <w:pPr>
              <w:spacing w:after="0"/>
              <w:rPr>
                <w:sz w:val="20"/>
                <w:szCs w:val="20"/>
                <w:color w:val="auto"/>
              </w:rPr>
            </w:pPr>
            <w:r>
              <w:rPr>
                <w:rFonts w:ascii="Arial" w:cs="Arial" w:eastAsia="Arial" w:hAnsi="Arial"/>
                <w:sz w:val="16"/>
                <w:szCs w:val="16"/>
                <w:b w:val="1"/>
                <w:bCs w:val="1"/>
                <w:color w:val="auto"/>
              </w:rPr>
              <w:t>Reconciliation of Adjusted EBITDA to net income:</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tcPr>
          <w:p>
            <w:pPr>
              <w:spacing w:after="0"/>
              <w:rPr>
                <w:sz w:val="20"/>
                <w:szCs w:val="20"/>
                <w:color w:val="auto"/>
              </w:rPr>
            </w:pPr>
            <w:r>
              <w:rPr>
                <w:rFonts w:ascii="Arial" w:cs="Arial" w:eastAsia="Arial" w:hAnsi="Arial"/>
                <w:sz w:val="16"/>
                <w:szCs w:val="16"/>
                <w:color w:val="auto"/>
              </w:rPr>
              <w:t>Net income</w:t>
            </w:r>
          </w:p>
        </w:tc>
        <w:tc>
          <w:tcPr>
            <w:tcW w:w="1020" w:type="dxa"/>
            <w:vAlign w:val="bottom"/>
            <w:gridSpan w:val="2"/>
          </w:tcPr>
          <w:p>
            <w:pPr>
              <w:jc w:val="right"/>
              <w:ind w:right="882"/>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157.7</w:t>
            </w:r>
          </w:p>
        </w:tc>
        <w:tc>
          <w:tcPr>
            <w:tcW w:w="120" w:type="dxa"/>
            <w:vAlign w:val="bottom"/>
          </w:tcPr>
          <w:p>
            <w:pPr>
              <w:spacing w:after="0"/>
              <w:rPr>
                <w:sz w:val="16"/>
                <w:szCs w:val="16"/>
                <w:color w:val="auto"/>
              </w:rPr>
            </w:pPr>
          </w:p>
        </w:tc>
        <w:tc>
          <w:tcPr>
            <w:tcW w:w="620" w:type="dxa"/>
            <w:vAlign w:val="bottom"/>
            <w:gridSpan w:val="2"/>
          </w:tcPr>
          <w:p>
            <w:pPr>
              <w:jc w:val="right"/>
              <w:ind w:right="304"/>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161.4</w:t>
            </w:r>
          </w:p>
        </w:tc>
        <w:tc>
          <w:tcPr>
            <w:tcW w:w="0" w:type="dxa"/>
            <w:vAlign w:val="bottom"/>
          </w:tcPr>
          <w:p>
            <w:pPr>
              <w:spacing w:after="0"/>
              <w:rPr>
                <w:sz w:val="1"/>
                <w:szCs w:val="1"/>
                <w:color w:val="auto"/>
              </w:rPr>
            </w:pPr>
          </w:p>
        </w:tc>
      </w:tr>
      <w:tr>
        <w:trPr>
          <w:trHeight w:val="189"/>
        </w:trPr>
        <w:tc>
          <w:tcPr>
            <w:tcW w:w="7860" w:type="dxa"/>
            <w:vAlign w:val="bottom"/>
          </w:tcPr>
          <w:p>
            <w:pPr>
              <w:spacing w:after="0"/>
              <w:rPr>
                <w:sz w:val="20"/>
                <w:szCs w:val="20"/>
                <w:color w:val="auto"/>
              </w:rPr>
            </w:pPr>
            <w:r>
              <w:rPr>
                <w:rFonts w:ascii="Arial" w:cs="Arial" w:eastAsia="Arial" w:hAnsi="Arial"/>
                <w:sz w:val="16"/>
                <w:szCs w:val="16"/>
                <w:color w:val="auto"/>
              </w:rPr>
              <w:t>Plus:</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80"/>
              <w:spacing w:after="0"/>
              <w:rPr>
                <w:sz w:val="20"/>
                <w:szCs w:val="20"/>
                <w:color w:val="auto"/>
              </w:rPr>
            </w:pPr>
            <w:r>
              <w:rPr>
                <w:rFonts w:ascii="Arial" w:cs="Arial" w:eastAsia="Arial" w:hAnsi="Arial"/>
                <w:sz w:val="16"/>
                <w:szCs w:val="16"/>
                <w:color w:val="auto"/>
              </w:rPr>
              <w:t>Depreciation expense</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189"/>
        </w:trPr>
        <w:tc>
          <w:tcPr>
            <w:tcW w:w="7860" w:type="dxa"/>
            <w:vAlign w:val="bottom"/>
          </w:tcPr>
          <w:p>
            <w:pPr>
              <w:ind w:left="80"/>
              <w:spacing w:after="0"/>
              <w:rPr>
                <w:sz w:val="20"/>
                <w:szCs w:val="20"/>
                <w:color w:val="auto"/>
              </w:rPr>
            </w:pPr>
            <w:r>
              <w:rPr>
                <w:rFonts w:ascii="Arial" w:cs="Arial" w:eastAsia="Arial" w:hAnsi="Arial"/>
                <w:sz w:val="16"/>
                <w:szCs w:val="16"/>
                <w:color w:val="auto"/>
              </w:rPr>
              <w:t>Interest expense, net</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03"/>
        </w:trPr>
        <w:tc>
          <w:tcPr>
            <w:tcW w:w="7860" w:type="dxa"/>
            <w:vAlign w:val="bottom"/>
          </w:tcPr>
          <w:p>
            <w:pPr>
              <w:ind w:left="80"/>
              <w:spacing w:after="0"/>
              <w:rPr>
                <w:sz w:val="20"/>
                <w:szCs w:val="20"/>
                <w:color w:val="auto"/>
              </w:rPr>
            </w:pPr>
            <w:r>
              <w:rPr>
                <w:rFonts w:ascii="Arial" w:cs="Arial" w:eastAsia="Arial" w:hAnsi="Arial"/>
                <w:sz w:val="16"/>
                <w:szCs w:val="16"/>
                <w:color w:val="auto"/>
              </w:rPr>
              <w:t>Income tax expense</w:t>
            </w: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183"/>
        </w:trPr>
        <w:tc>
          <w:tcPr>
            <w:tcW w:w="7860" w:type="dxa"/>
            <w:vAlign w:val="bottom"/>
          </w:tcPr>
          <w:p>
            <w:pPr>
              <w:spacing w:after="0" w:line="183" w:lineRule="exact"/>
              <w:rPr>
                <w:sz w:val="20"/>
                <w:szCs w:val="20"/>
                <w:color w:val="auto"/>
              </w:rPr>
            </w:pPr>
            <w:r>
              <w:rPr>
                <w:rFonts w:ascii="Arial" w:cs="Arial" w:eastAsia="Arial" w:hAnsi="Arial"/>
                <w:sz w:val="16"/>
                <w:szCs w:val="16"/>
                <w:color w:val="auto"/>
              </w:rPr>
              <w:t>Adjusted EBITDA</w:t>
            </w:r>
          </w:p>
        </w:tc>
        <w:tc>
          <w:tcPr>
            <w:tcW w:w="2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ind w:right="882"/>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299.8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6"/>
                <w:szCs w:val="16"/>
                <w:b w:val="1"/>
                <w:bCs w:val="1"/>
                <w:color w:val="auto"/>
              </w:rPr>
              <w:t>Reconciliation of Adjusted EBITDA</w:t>
            </w: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140"/>
              <w:spacing w:after="0"/>
              <w:rPr>
                <w:sz w:val="20"/>
                <w:szCs w:val="20"/>
                <w:color w:val="auto"/>
              </w:rPr>
            </w:pPr>
            <w:r>
              <w:rPr>
                <w:rFonts w:ascii="Arial" w:cs="Arial" w:eastAsia="Arial" w:hAnsi="Arial"/>
                <w:sz w:val="16"/>
                <w:szCs w:val="16"/>
                <w:b w:val="1"/>
                <w:bCs w:val="1"/>
                <w:color w:val="auto"/>
              </w:rPr>
              <w:t>and Adjusted Free Cash Flow to net cash</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140"/>
              <w:spacing w:after="0"/>
              <w:rPr>
                <w:sz w:val="20"/>
                <w:szCs w:val="20"/>
                <w:color w:val="auto"/>
              </w:rPr>
            </w:pPr>
            <w:r>
              <w:rPr>
                <w:rFonts w:ascii="Arial" w:cs="Arial" w:eastAsia="Arial" w:hAnsi="Arial"/>
                <w:sz w:val="16"/>
                <w:szCs w:val="16"/>
                <w:b w:val="1"/>
                <w:bCs w:val="1"/>
                <w:color w:val="auto"/>
              </w:rPr>
              <w:t>provided by operating activities:</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tcPr>
          <w:p>
            <w:pPr>
              <w:spacing w:after="0"/>
              <w:rPr>
                <w:sz w:val="20"/>
                <w:szCs w:val="20"/>
                <w:color w:val="auto"/>
              </w:rPr>
            </w:pPr>
            <w:r>
              <w:rPr>
                <w:rFonts w:ascii="Arial" w:cs="Arial" w:eastAsia="Arial" w:hAnsi="Arial"/>
                <w:sz w:val="16"/>
                <w:szCs w:val="16"/>
                <w:color w:val="auto"/>
              </w:rPr>
              <w:t>Net cash provided by operating activities</w:t>
            </w:r>
          </w:p>
        </w:tc>
        <w:tc>
          <w:tcPr>
            <w:tcW w:w="1020" w:type="dxa"/>
            <w:vAlign w:val="bottom"/>
            <w:gridSpan w:val="2"/>
          </w:tcPr>
          <w:p>
            <w:pPr>
              <w:jc w:val="right"/>
              <w:ind w:right="882"/>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253.3</w:t>
            </w:r>
          </w:p>
        </w:tc>
        <w:tc>
          <w:tcPr>
            <w:tcW w:w="120" w:type="dxa"/>
            <w:vAlign w:val="bottom"/>
          </w:tcPr>
          <w:p>
            <w:pPr>
              <w:spacing w:after="0"/>
              <w:rPr>
                <w:sz w:val="16"/>
                <w:szCs w:val="16"/>
                <w:color w:val="auto"/>
              </w:rPr>
            </w:pPr>
          </w:p>
        </w:tc>
        <w:tc>
          <w:tcPr>
            <w:tcW w:w="620" w:type="dxa"/>
            <w:vAlign w:val="bottom"/>
            <w:gridSpan w:val="2"/>
          </w:tcPr>
          <w:p>
            <w:pPr>
              <w:jc w:val="right"/>
              <w:ind w:right="304"/>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189"/>
        </w:trPr>
        <w:tc>
          <w:tcPr>
            <w:tcW w:w="7860" w:type="dxa"/>
            <w:vAlign w:val="bottom"/>
          </w:tcPr>
          <w:p>
            <w:pPr>
              <w:ind w:left="80"/>
              <w:spacing w:after="0"/>
              <w:rPr>
                <w:sz w:val="20"/>
                <w:szCs w:val="20"/>
                <w:color w:val="auto"/>
              </w:rPr>
            </w:pPr>
            <w:r>
              <w:rPr>
                <w:rFonts w:ascii="Arial" w:cs="Arial" w:eastAsia="Arial" w:hAnsi="Arial"/>
                <w:sz w:val="16"/>
                <w:szCs w:val="16"/>
                <w:color w:val="auto"/>
              </w:rPr>
              <w:t>Changes in assets and liabilities</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(4.2)</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189"/>
        </w:trPr>
        <w:tc>
          <w:tcPr>
            <w:tcW w:w="7860" w:type="dxa"/>
            <w:vAlign w:val="bottom"/>
          </w:tcPr>
          <w:p>
            <w:pPr>
              <w:ind w:left="80"/>
              <w:spacing w:after="0"/>
              <w:rPr>
                <w:sz w:val="20"/>
                <w:szCs w:val="20"/>
                <w:color w:val="auto"/>
              </w:rPr>
            </w:pPr>
            <w:r>
              <w:rPr>
                <w:rFonts w:ascii="Arial" w:cs="Arial" w:eastAsia="Arial" w:hAnsi="Arial"/>
                <w:sz w:val="16"/>
                <w:szCs w:val="16"/>
                <w:color w:val="auto"/>
              </w:rPr>
              <w:t>Amortization of deferred financing costs</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(3.0)</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9"/>
        </w:trPr>
        <w:tc>
          <w:tcPr>
            <w:tcW w:w="7860" w:type="dxa"/>
            <w:vAlign w:val="bottom"/>
          </w:tcPr>
          <w:p>
            <w:pPr>
              <w:ind w:left="80"/>
              <w:spacing w:after="0"/>
              <w:rPr>
                <w:sz w:val="20"/>
                <w:szCs w:val="20"/>
                <w:color w:val="auto"/>
              </w:rPr>
            </w:pPr>
            <w:r>
              <w:rPr>
                <w:rFonts w:ascii="Arial" w:cs="Arial" w:eastAsia="Arial" w:hAnsi="Arial"/>
                <w:sz w:val="16"/>
                <w:szCs w:val="16"/>
                <w:color w:val="auto"/>
              </w:rPr>
              <w:t>Interest expense, net</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189"/>
        </w:trPr>
        <w:tc>
          <w:tcPr>
            <w:tcW w:w="7860" w:type="dxa"/>
            <w:vAlign w:val="bottom"/>
          </w:tcPr>
          <w:p>
            <w:pPr>
              <w:ind w:left="80"/>
              <w:spacing w:after="0"/>
              <w:rPr>
                <w:sz w:val="20"/>
                <w:szCs w:val="20"/>
                <w:color w:val="auto"/>
              </w:rPr>
            </w:pPr>
            <w:r>
              <w:rPr>
                <w:rFonts w:ascii="Arial" w:cs="Arial" w:eastAsia="Arial" w:hAnsi="Arial"/>
                <w:sz w:val="16"/>
                <w:szCs w:val="16"/>
                <w:color w:val="auto"/>
              </w:rPr>
              <w:t>Income from equity investments</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89"/>
        </w:trPr>
        <w:tc>
          <w:tcPr>
            <w:tcW w:w="7860" w:type="dxa"/>
            <w:vAlign w:val="bottom"/>
          </w:tcPr>
          <w:p>
            <w:pPr>
              <w:ind w:left="80"/>
              <w:spacing w:after="0"/>
              <w:rPr>
                <w:sz w:val="20"/>
                <w:szCs w:val="20"/>
                <w:color w:val="auto"/>
              </w:rPr>
            </w:pPr>
            <w:r>
              <w:rPr>
                <w:rFonts w:ascii="Arial" w:cs="Arial" w:eastAsia="Arial" w:hAnsi="Arial"/>
                <w:sz w:val="16"/>
                <w:szCs w:val="16"/>
                <w:color w:val="auto"/>
              </w:rPr>
              <w:t>Distribution from equity investments</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(4.7)</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3"/>
        </w:trPr>
        <w:tc>
          <w:tcPr>
            <w:tcW w:w="7860" w:type="dxa"/>
            <w:vAlign w:val="bottom"/>
          </w:tcPr>
          <w:p>
            <w:pPr>
              <w:ind w:left="8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(0.2)</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68"/>
        </w:trPr>
        <w:tc>
          <w:tcPr>
            <w:tcW w:w="7860" w:type="dxa"/>
            <w:vAlign w:val="bottom"/>
          </w:tcPr>
          <w:p>
            <w:pPr>
              <w:spacing w:after="0" w:line="168" w:lineRule="exact"/>
              <w:rPr>
                <w:sz w:val="20"/>
                <w:szCs w:val="20"/>
                <w:color w:val="auto"/>
              </w:rPr>
            </w:pPr>
            <w:r>
              <w:rPr>
                <w:rFonts w:ascii="Arial" w:cs="Arial" w:eastAsia="Arial" w:hAnsi="Arial"/>
                <w:sz w:val="16"/>
                <w:szCs w:val="16"/>
                <w:color w:val="auto"/>
              </w:rPr>
              <w:t>Adjusted EBITDA</w:t>
            </w:r>
          </w:p>
        </w:tc>
        <w:tc>
          <w:tcPr>
            <w:tcW w:w="20" w:type="dxa"/>
            <w:vAlign w:val="bottom"/>
          </w:tcPr>
          <w:p>
            <w:pPr>
              <w:spacing w:after="0"/>
              <w:rPr>
                <w:sz w:val="14"/>
                <w:szCs w:val="14"/>
                <w:color w:val="auto"/>
              </w:rPr>
            </w:pPr>
          </w:p>
        </w:tc>
        <w:tc>
          <w:tcPr>
            <w:tcW w:w="1000" w:type="dxa"/>
            <w:vAlign w:val="bottom"/>
            <w:tcBorders>
              <w:top w:val="single" w:sz="8" w:color="auto"/>
            </w:tcBorders>
          </w:tcPr>
          <w:p>
            <w:pPr>
              <w:jc w:val="right"/>
              <w:ind w:right="882"/>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299.8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top w:val="single" w:sz="8" w:color="auto"/>
            </w:tcBorders>
          </w:tcPr>
          <w:p>
            <w:pPr>
              <w:jc w:val="right"/>
              <w:ind w:right="304"/>
              <w:spacing w:after="0" w:line="169" w:lineRule="exact"/>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292.3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860" w:type="dxa"/>
            <w:vAlign w:val="bottom"/>
          </w:tcPr>
          <w:p>
            <w:pPr>
              <w:spacing w:after="0" w:line="163" w:lineRule="exact"/>
              <w:rPr>
                <w:sz w:val="20"/>
                <w:szCs w:val="20"/>
                <w:color w:val="auto"/>
              </w:rPr>
            </w:pPr>
            <w:r>
              <w:rPr>
                <w:rFonts w:ascii="Arial" w:cs="Arial" w:eastAsia="Arial" w:hAnsi="Arial"/>
                <w:sz w:val="16"/>
                <w:szCs w:val="16"/>
                <w:color w:val="auto"/>
              </w:rPr>
              <w:t>Less:</w:t>
            </w: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80"/>
              <w:spacing w:after="0" w:line="216" w:lineRule="exact"/>
              <w:rPr>
                <w:sz w:val="20"/>
                <w:szCs w:val="20"/>
                <w:color w:val="auto"/>
              </w:rPr>
            </w:pPr>
            <w:r>
              <w:rPr>
                <w:rFonts w:ascii="Arial" w:cs="Arial" w:eastAsia="Arial" w:hAnsi="Arial"/>
                <w:sz w:val="16"/>
                <w:szCs w:val="16"/>
                <w:color w:val="auto"/>
              </w:rPr>
              <w:t>Interest, net</w:t>
            </w:r>
            <w:r>
              <w:rPr>
                <w:rFonts w:ascii="Arial" w:cs="Arial" w:eastAsia="Arial" w:hAnsi="Arial"/>
                <w:sz w:val="21"/>
                <w:szCs w:val="21"/>
                <w:color w:val="auto"/>
                <w:vertAlign w:val="superscript"/>
              </w:rPr>
              <w:t>(1)</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203"/>
        </w:trPr>
        <w:tc>
          <w:tcPr>
            <w:tcW w:w="7860" w:type="dxa"/>
            <w:vAlign w:val="bottom"/>
          </w:tcPr>
          <w:p>
            <w:pPr>
              <w:ind w:left="80"/>
              <w:spacing w:after="0"/>
              <w:rPr>
                <w:sz w:val="20"/>
                <w:szCs w:val="20"/>
                <w:color w:val="auto"/>
              </w:rPr>
            </w:pPr>
            <w:r>
              <w:rPr>
                <w:rFonts w:ascii="Arial" w:cs="Arial" w:eastAsia="Arial" w:hAnsi="Arial"/>
                <w:sz w:val="16"/>
                <w:szCs w:val="16"/>
                <w:color w:val="auto"/>
              </w:rPr>
              <w:t>Capital expenditures</w:t>
            </w: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183"/>
        </w:trPr>
        <w:tc>
          <w:tcPr>
            <w:tcW w:w="7860" w:type="dxa"/>
            <w:vAlign w:val="bottom"/>
          </w:tcPr>
          <w:p>
            <w:pPr>
              <w:spacing w:after="0" w:line="183" w:lineRule="exact"/>
              <w:rPr>
                <w:sz w:val="20"/>
                <w:szCs w:val="20"/>
                <w:color w:val="auto"/>
              </w:rPr>
            </w:pPr>
            <w:r>
              <w:rPr>
                <w:rFonts w:ascii="Arial" w:cs="Arial" w:eastAsia="Arial" w:hAnsi="Arial"/>
                <w:sz w:val="16"/>
                <w:szCs w:val="16"/>
                <w:color w:val="auto"/>
              </w:rPr>
              <w:t>Adjusted Free Cash Flow</w:t>
            </w:r>
          </w:p>
        </w:tc>
        <w:tc>
          <w:tcPr>
            <w:tcW w:w="20" w:type="dxa"/>
            <w:vAlign w:val="bottom"/>
            <w:tcBorders>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882"/>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237.0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190.7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(1) Excludes amortization of deferred financing costs.</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497840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9" w:right="3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9"/>
        </w:trPr>
        <w:tc>
          <w:tcPr>
            <w:tcW w:w="6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40" w:type="dxa"/>
            <w:vAlign w:val="bottom"/>
            <w:gridSpan w:val="4"/>
          </w:tcPr>
          <w:p>
            <w:pPr>
              <w:jc w:val="right"/>
              <w:ind w:right="224"/>
              <w:spacing w:after="0"/>
              <w:rPr>
                <w:sz w:val="20"/>
                <w:szCs w:val="20"/>
                <w:color w:val="auto"/>
              </w:rPr>
            </w:pPr>
            <w:r>
              <w:rPr>
                <w:rFonts w:ascii="Arial" w:cs="Arial" w:eastAsia="Arial" w:hAnsi="Arial"/>
                <w:sz w:val="16"/>
                <w:szCs w:val="16"/>
                <w:b w:val="1"/>
                <w:bCs w:val="1"/>
                <w:color w:val="auto"/>
              </w:rPr>
              <w:t>First Quarter</w:t>
            </w: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2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4"/>
          </w:tcPr>
          <w:p>
            <w:pPr>
              <w:jc w:val="right"/>
              <w:ind w:right="264"/>
              <w:spacing w:after="0"/>
              <w:rPr>
                <w:sz w:val="20"/>
                <w:szCs w:val="20"/>
                <w:color w:val="auto"/>
              </w:rPr>
            </w:pPr>
            <w:r>
              <w:rPr>
                <w:rFonts w:ascii="Arial" w:cs="Arial" w:eastAsia="Arial" w:hAnsi="Arial"/>
                <w:sz w:val="16"/>
                <w:szCs w:val="16"/>
                <w:b w:val="1"/>
                <w:bCs w:val="1"/>
                <w:color w:val="auto"/>
              </w:rPr>
              <w:t>(Unaudited)</w:t>
            </w:r>
          </w:p>
        </w:tc>
        <w:tc>
          <w:tcPr>
            <w:tcW w:w="16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220" w:type="dxa"/>
            <w:vAlign w:val="bottom"/>
            <w:vMerge w:val="restart"/>
          </w:tcPr>
          <w:p>
            <w:pPr>
              <w:ind w:left="60"/>
              <w:spacing w:after="0"/>
              <w:rPr>
                <w:sz w:val="20"/>
                <w:szCs w:val="20"/>
                <w:color w:val="auto"/>
              </w:rPr>
            </w:pPr>
            <w:r>
              <w:rPr>
                <w:rFonts w:ascii="Arial" w:cs="Arial" w:eastAsia="Arial" w:hAnsi="Arial"/>
                <w:sz w:val="16"/>
                <w:szCs w:val="16"/>
                <w:i w:val="1"/>
                <w:iCs w:val="1"/>
                <w:color w:val="auto"/>
              </w:rPr>
              <w:t>(in millions, except ratios)</w:t>
            </w:r>
          </w:p>
        </w:tc>
        <w:tc>
          <w:tcPr>
            <w:tcW w:w="1580" w:type="dxa"/>
            <w:vAlign w:val="bottom"/>
            <w:tcBorders>
              <w:bottom w:val="single" w:sz="8" w:color="auto"/>
            </w:tcBorders>
          </w:tcPr>
          <w:p>
            <w:pPr>
              <w:jc w:val="right"/>
              <w:ind w:right="183"/>
              <w:spacing w:after="0" w:line="183" w:lineRule="exact"/>
              <w:rPr>
                <w:sz w:val="20"/>
                <w:szCs w:val="20"/>
                <w:color w:val="auto"/>
              </w:rPr>
            </w:pPr>
            <w:r>
              <w:rPr>
                <w:rFonts w:ascii="Arial" w:cs="Arial" w:eastAsia="Arial" w:hAnsi="Arial"/>
                <w:sz w:val="16"/>
                <w:szCs w:val="16"/>
                <w:b w:val="1"/>
                <w:bCs w:val="1"/>
                <w:color w:val="auto"/>
              </w:rPr>
              <w:t>2026</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879"/>
              <w:spacing w:after="0" w:line="183" w:lineRule="exact"/>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22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220" w:type="dxa"/>
            <w:vAlign w:val="bottom"/>
          </w:tcPr>
          <w:p>
            <w:pPr>
              <w:spacing w:after="0"/>
              <w:rPr>
                <w:sz w:val="20"/>
                <w:szCs w:val="20"/>
                <w:color w:val="auto"/>
              </w:rPr>
            </w:pPr>
            <w:r>
              <w:rPr>
                <w:rFonts w:ascii="Arial" w:cs="Arial" w:eastAsia="Arial" w:hAnsi="Arial"/>
                <w:sz w:val="16"/>
                <w:szCs w:val="16"/>
                <w:b w:val="1"/>
                <w:bCs w:val="1"/>
                <w:color w:val="auto"/>
              </w:rPr>
              <w:t>Reconciliation of Gross Adjusted EBITDA Margin to gross margin:</w:t>
            </w:r>
          </w:p>
        </w:tc>
        <w:tc>
          <w:tcPr>
            <w:tcW w:w="1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20" w:type="dxa"/>
            <w:vAlign w:val="bottom"/>
          </w:tcPr>
          <w:p>
            <w:pPr>
              <w:spacing w:after="0"/>
              <w:rPr>
                <w:sz w:val="20"/>
                <w:szCs w:val="20"/>
                <w:color w:val="auto"/>
              </w:rPr>
            </w:pPr>
            <w:r>
              <w:rPr>
                <w:rFonts w:ascii="Arial" w:cs="Arial" w:eastAsia="Arial" w:hAnsi="Arial"/>
                <w:sz w:val="16"/>
                <w:szCs w:val="16"/>
                <w:color w:val="auto"/>
              </w:rPr>
              <w:t>Income from operations</w:t>
            </w:r>
          </w:p>
        </w:tc>
        <w:tc>
          <w:tcPr>
            <w:tcW w:w="1580" w:type="dxa"/>
            <w:vAlign w:val="bottom"/>
          </w:tcPr>
          <w:p>
            <w:pPr>
              <w:jc w:val="right"/>
              <w:ind w:right="14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238.1</w:t>
            </w:r>
          </w:p>
        </w:tc>
        <w:tc>
          <w:tcPr>
            <w:tcW w:w="220" w:type="dxa"/>
            <w:vAlign w:val="bottom"/>
          </w:tcPr>
          <w:p>
            <w:pPr>
              <w:spacing w:after="0"/>
              <w:rPr>
                <w:sz w:val="16"/>
                <w:szCs w:val="16"/>
                <w:color w:val="auto"/>
              </w:rPr>
            </w:pPr>
          </w:p>
        </w:tc>
        <w:tc>
          <w:tcPr>
            <w:tcW w:w="720" w:type="dxa"/>
            <w:vAlign w:val="bottom"/>
            <w:gridSpan w:val="2"/>
          </w:tcPr>
          <w:p>
            <w:pPr>
              <w:jc w:val="right"/>
              <w:ind w:right="484"/>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237.4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20" w:type="dxa"/>
            <w:vAlign w:val="bottom"/>
          </w:tcPr>
          <w:p>
            <w:pPr>
              <w:spacing w:after="0"/>
              <w:rPr>
                <w:sz w:val="20"/>
                <w:szCs w:val="20"/>
                <w:color w:val="auto"/>
              </w:rPr>
            </w:pPr>
            <w:r>
              <w:rPr>
                <w:rFonts w:ascii="Arial" w:cs="Arial" w:eastAsia="Arial" w:hAnsi="Arial"/>
                <w:sz w:val="16"/>
                <w:szCs w:val="16"/>
                <w:color w:val="auto"/>
              </w:rPr>
              <w:t>Total revenues</w:t>
            </w:r>
          </w:p>
        </w:tc>
        <w:tc>
          <w:tcPr>
            <w:tcW w:w="1580" w:type="dxa"/>
            <w:vAlign w:val="bottom"/>
          </w:tcPr>
          <w:p>
            <w:pPr>
              <w:jc w:val="right"/>
              <w:ind w:right="14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390.1</w:t>
            </w:r>
          </w:p>
        </w:tc>
        <w:tc>
          <w:tcPr>
            <w:tcW w:w="220" w:type="dxa"/>
            <w:vAlign w:val="bottom"/>
          </w:tcPr>
          <w:p>
            <w:pPr>
              <w:spacing w:after="0"/>
              <w:rPr>
                <w:sz w:val="16"/>
                <w:szCs w:val="16"/>
                <w:color w:val="auto"/>
              </w:rPr>
            </w:pPr>
          </w:p>
        </w:tc>
        <w:tc>
          <w:tcPr>
            <w:tcW w:w="720" w:type="dxa"/>
            <w:vAlign w:val="bottom"/>
            <w:gridSpan w:val="2"/>
          </w:tcPr>
          <w:p>
            <w:pPr>
              <w:jc w:val="right"/>
              <w:ind w:right="484"/>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382.0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220" w:type="dxa"/>
            <w:vAlign w:val="bottom"/>
          </w:tcPr>
          <w:p>
            <w:pPr>
              <w:spacing w:after="0"/>
              <w:rPr>
                <w:sz w:val="20"/>
                <w:szCs w:val="20"/>
                <w:color w:val="auto"/>
              </w:rPr>
            </w:pPr>
            <w:r>
              <w:rPr>
                <w:rFonts w:ascii="Arial" w:cs="Arial" w:eastAsia="Arial" w:hAnsi="Arial"/>
                <w:sz w:val="16"/>
                <w:szCs w:val="16"/>
                <w:color w:val="auto"/>
              </w:rPr>
              <w:t>Gross margin</w:t>
            </w:r>
          </w:p>
        </w:tc>
        <w:tc>
          <w:tcPr>
            <w:tcW w:w="15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352"/>
        </w:trPr>
        <w:tc>
          <w:tcPr>
            <w:tcW w:w="6220" w:type="dxa"/>
            <w:vAlign w:val="bottom"/>
          </w:tcPr>
          <w:p>
            <w:pPr>
              <w:spacing w:after="0"/>
              <w:rPr>
                <w:sz w:val="20"/>
                <w:szCs w:val="20"/>
                <w:color w:val="auto"/>
              </w:rPr>
            </w:pPr>
            <w:r>
              <w:rPr>
                <w:rFonts w:ascii="Arial" w:cs="Arial" w:eastAsia="Arial" w:hAnsi="Arial"/>
                <w:sz w:val="16"/>
                <w:szCs w:val="16"/>
                <w:color w:val="auto"/>
              </w:rPr>
              <w:t>Income from operations</w:t>
            </w:r>
          </w:p>
        </w:tc>
        <w:tc>
          <w:tcPr>
            <w:tcW w:w="1580" w:type="dxa"/>
            <w:vAlign w:val="bottom"/>
          </w:tcPr>
          <w:p>
            <w:pPr>
              <w:jc w:val="right"/>
              <w:ind w:right="14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238.1</w:t>
            </w:r>
          </w:p>
        </w:tc>
        <w:tc>
          <w:tcPr>
            <w:tcW w:w="220" w:type="dxa"/>
            <w:vAlign w:val="bottom"/>
          </w:tcPr>
          <w:p>
            <w:pPr>
              <w:spacing w:after="0"/>
              <w:rPr>
                <w:sz w:val="24"/>
                <w:szCs w:val="24"/>
                <w:color w:val="auto"/>
              </w:rPr>
            </w:pPr>
          </w:p>
        </w:tc>
        <w:tc>
          <w:tcPr>
            <w:tcW w:w="720" w:type="dxa"/>
            <w:vAlign w:val="bottom"/>
            <w:gridSpan w:val="2"/>
          </w:tcPr>
          <w:p>
            <w:pPr>
              <w:jc w:val="right"/>
              <w:ind w:right="484"/>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237.4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20" w:type="dxa"/>
            <w:vAlign w:val="bottom"/>
          </w:tcPr>
          <w:p>
            <w:pPr>
              <w:spacing w:after="0"/>
              <w:rPr>
                <w:sz w:val="20"/>
                <w:szCs w:val="20"/>
                <w:color w:val="auto"/>
              </w:rPr>
            </w:pPr>
            <w:r>
              <w:rPr>
                <w:rFonts w:ascii="Arial" w:cs="Arial" w:eastAsia="Arial" w:hAnsi="Arial"/>
                <w:sz w:val="16"/>
                <w:szCs w:val="16"/>
                <w:color w:val="auto"/>
              </w:rPr>
              <w:t>Plus:</w:t>
            </w:r>
          </w:p>
        </w:tc>
        <w:tc>
          <w:tcPr>
            <w:tcW w:w="1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20" w:type="dxa"/>
            <w:vAlign w:val="bottom"/>
          </w:tcPr>
          <w:p>
            <w:pPr>
              <w:ind w:left="60"/>
              <w:spacing w:after="0"/>
              <w:rPr>
                <w:sz w:val="20"/>
                <w:szCs w:val="20"/>
                <w:color w:val="auto"/>
              </w:rPr>
            </w:pPr>
            <w:r>
              <w:rPr>
                <w:rFonts w:ascii="Arial" w:cs="Arial" w:eastAsia="Arial" w:hAnsi="Arial"/>
                <w:sz w:val="16"/>
                <w:szCs w:val="16"/>
                <w:color w:val="auto"/>
              </w:rPr>
              <w:t>Depreciation expense</w:t>
            </w:r>
          </w:p>
        </w:tc>
        <w:tc>
          <w:tcPr>
            <w:tcW w:w="15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51.5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60"/>
              <w:spacing w:after="0"/>
              <w:rPr>
                <w:sz w:val="20"/>
                <w:szCs w:val="20"/>
                <w:color w:val="auto"/>
              </w:rPr>
            </w:pPr>
            <w:r>
              <w:rPr>
                <w:rFonts w:ascii="Arial" w:cs="Arial" w:eastAsia="Arial" w:hAnsi="Arial"/>
                <w:sz w:val="16"/>
                <w:szCs w:val="16"/>
                <w:color w:val="auto"/>
              </w:rPr>
              <w:t>Income from equity investments</w:t>
            </w:r>
          </w:p>
        </w:tc>
        <w:tc>
          <w:tcPr>
            <w:tcW w:w="15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220" w:type="dxa"/>
            <w:vAlign w:val="bottom"/>
          </w:tcPr>
          <w:p>
            <w:pPr>
              <w:spacing w:after="0" w:line="183" w:lineRule="exact"/>
              <w:rPr>
                <w:sz w:val="20"/>
                <w:szCs w:val="20"/>
                <w:color w:val="auto"/>
              </w:rPr>
            </w:pPr>
            <w:r>
              <w:rPr>
                <w:rFonts w:ascii="Arial" w:cs="Arial" w:eastAsia="Arial" w:hAnsi="Arial"/>
                <w:sz w:val="16"/>
                <w:szCs w:val="16"/>
                <w:color w:val="auto"/>
              </w:rPr>
              <w:t>Adjusted EBITDA</w:t>
            </w:r>
          </w:p>
        </w:tc>
        <w:tc>
          <w:tcPr>
            <w:tcW w:w="1580" w:type="dxa"/>
            <w:vAlign w:val="bottom"/>
            <w:tcBorders>
              <w:bottom w:val="single" w:sz="8" w:color="auto"/>
            </w:tcBorders>
          </w:tcPr>
          <w:p>
            <w:pPr>
              <w:jc w:val="right"/>
              <w:ind w:right="142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299.8</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292.3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220" w:type="dxa"/>
            <w:vAlign w:val="bottom"/>
          </w:tcPr>
          <w:p>
            <w:pPr>
              <w:spacing w:after="0"/>
              <w:rPr>
                <w:sz w:val="20"/>
                <w:szCs w:val="20"/>
                <w:color w:val="auto"/>
              </w:rPr>
            </w:pPr>
            <w:r>
              <w:rPr>
                <w:rFonts w:ascii="Arial" w:cs="Arial" w:eastAsia="Arial" w:hAnsi="Arial"/>
                <w:sz w:val="16"/>
                <w:szCs w:val="16"/>
                <w:color w:val="auto"/>
              </w:rPr>
              <w:t>Total revenues</w:t>
            </w:r>
          </w:p>
        </w:tc>
        <w:tc>
          <w:tcPr>
            <w:tcW w:w="1580" w:type="dxa"/>
            <w:vAlign w:val="bottom"/>
          </w:tcPr>
          <w:p>
            <w:pPr>
              <w:jc w:val="right"/>
              <w:ind w:right="14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390.1</w:t>
            </w:r>
          </w:p>
        </w:tc>
        <w:tc>
          <w:tcPr>
            <w:tcW w:w="220" w:type="dxa"/>
            <w:vAlign w:val="bottom"/>
          </w:tcPr>
          <w:p>
            <w:pPr>
              <w:spacing w:after="0"/>
              <w:rPr>
                <w:sz w:val="24"/>
                <w:szCs w:val="24"/>
                <w:color w:val="auto"/>
              </w:rPr>
            </w:pPr>
          </w:p>
        </w:tc>
        <w:tc>
          <w:tcPr>
            <w:tcW w:w="720" w:type="dxa"/>
            <w:vAlign w:val="bottom"/>
            <w:gridSpan w:val="2"/>
          </w:tcPr>
          <w:p>
            <w:pPr>
              <w:jc w:val="right"/>
              <w:ind w:right="484"/>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382.0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60"/>
              <w:spacing w:after="0"/>
              <w:rPr>
                <w:sz w:val="20"/>
                <w:szCs w:val="20"/>
                <w:color w:val="auto"/>
              </w:rPr>
            </w:pPr>
            <w:r>
              <w:rPr>
                <w:rFonts w:ascii="Arial" w:cs="Arial" w:eastAsia="Arial" w:hAnsi="Arial"/>
                <w:sz w:val="16"/>
                <w:szCs w:val="16"/>
                <w:color w:val="auto"/>
              </w:rPr>
              <w:t>Less: pass-through revenues</w:t>
            </w:r>
          </w:p>
        </w:tc>
        <w:tc>
          <w:tcPr>
            <w:tcW w:w="15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220" w:type="dxa"/>
            <w:vAlign w:val="bottom"/>
          </w:tcPr>
          <w:p>
            <w:pPr>
              <w:spacing w:after="0" w:line="183" w:lineRule="exact"/>
              <w:rPr>
                <w:sz w:val="20"/>
                <w:szCs w:val="20"/>
                <w:color w:val="auto"/>
              </w:rPr>
            </w:pPr>
            <w:r>
              <w:rPr>
                <w:rFonts w:ascii="Arial" w:cs="Arial" w:eastAsia="Arial" w:hAnsi="Arial"/>
                <w:sz w:val="16"/>
                <w:szCs w:val="16"/>
                <w:color w:val="auto"/>
              </w:rPr>
              <w:t>Revenues excluding pass-through</w:t>
            </w:r>
          </w:p>
        </w:tc>
        <w:tc>
          <w:tcPr>
            <w:tcW w:w="1580" w:type="dxa"/>
            <w:vAlign w:val="bottom"/>
            <w:tcBorders>
              <w:bottom w:val="single" w:sz="8" w:color="auto"/>
            </w:tcBorders>
          </w:tcPr>
          <w:p>
            <w:pPr>
              <w:jc w:val="right"/>
              <w:ind w:right="142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359.5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356.5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6"/>
                <w:szCs w:val="16"/>
                <w:color w:val="auto"/>
              </w:rPr>
              <w:t>Gross Adjusted EBITDA Margin</w:t>
            </w:r>
          </w:p>
        </w:tc>
        <w:tc>
          <w:tcPr>
            <w:tcW w:w="1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220" w:type="dxa"/>
            <w:vAlign w:val="bottom"/>
            <w:vMerge w:val="continue"/>
          </w:tcPr>
          <w:p>
            <w:pPr>
              <w:spacing w:after="0"/>
              <w:rPr>
                <w:sz w:val="16"/>
                <w:szCs w:val="16"/>
                <w:color w:val="auto"/>
              </w:rPr>
            </w:pPr>
          </w:p>
        </w:tc>
        <w:tc>
          <w:tcPr>
            <w:tcW w:w="158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83%</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497840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5"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3"/>
        </w:trPr>
        <w:tc>
          <w:tcPr>
            <w:tcW w:w="8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rPr>
              <w:t>Guidance</w:t>
            </w:r>
          </w:p>
        </w:tc>
        <w:tc>
          <w:tcPr>
            <w:tcW w:w="0" w:type="dxa"/>
            <w:vAlign w:val="bottom"/>
          </w:tcPr>
          <w:p>
            <w:pPr>
              <w:spacing w:after="0"/>
              <w:rPr>
                <w:sz w:val="1"/>
                <w:szCs w:val="1"/>
                <w:color w:val="auto"/>
              </w:rPr>
            </w:pPr>
          </w:p>
        </w:tc>
      </w:tr>
      <w:tr>
        <w:trPr>
          <w:trHeight w:val="168"/>
        </w:trPr>
        <w:tc>
          <w:tcPr>
            <w:tcW w:w="8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0" w:type="dxa"/>
            <w:vAlign w:val="bottom"/>
          </w:tcPr>
          <w:p>
            <w:pPr>
              <w:jc w:val="center"/>
              <w:ind w:right="379"/>
              <w:spacing w:after="0" w:line="168" w:lineRule="exact"/>
              <w:rPr>
                <w:sz w:val="20"/>
                <w:szCs w:val="20"/>
                <w:color w:val="auto"/>
              </w:rPr>
            </w:pPr>
            <w:r>
              <w:rPr>
                <w:rFonts w:ascii="Arial" w:cs="Arial" w:eastAsia="Arial" w:hAnsi="Arial"/>
                <w:sz w:val="16"/>
                <w:szCs w:val="16"/>
                <w:b w:val="1"/>
                <w:bCs w:val="1"/>
                <w:color w:val="auto"/>
              </w:rPr>
              <w:t>Year Ending</w:t>
            </w:r>
          </w:p>
        </w:tc>
        <w:tc>
          <w:tcPr>
            <w:tcW w:w="0" w:type="dxa"/>
            <w:vAlign w:val="bottom"/>
          </w:tcPr>
          <w:p>
            <w:pPr>
              <w:spacing w:after="0"/>
              <w:rPr>
                <w:sz w:val="1"/>
                <w:szCs w:val="1"/>
                <w:color w:val="auto"/>
              </w:rPr>
            </w:pPr>
          </w:p>
        </w:tc>
      </w:tr>
      <w:tr>
        <w:trPr>
          <w:trHeight w:val="203"/>
        </w:trPr>
        <w:tc>
          <w:tcPr>
            <w:tcW w:w="8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rPr>
              <w:t>December 31, 2026</w:t>
            </w:r>
          </w:p>
        </w:tc>
        <w:tc>
          <w:tcPr>
            <w:tcW w:w="0" w:type="dxa"/>
            <w:vAlign w:val="bottom"/>
          </w:tcPr>
          <w:p>
            <w:pPr>
              <w:spacing w:after="0"/>
              <w:rPr>
                <w:sz w:val="1"/>
                <w:szCs w:val="1"/>
                <w:color w:val="auto"/>
              </w:rPr>
            </w:pPr>
          </w:p>
        </w:tc>
      </w:tr>
      <w:tr>
        <w:trPr>
          <w:trHeight w:val="216"/>
        </w:trPr>
        <w:tc>
          <w:tcPr>
            <w:tcW w:w="8100" w:type="dxa"/>
            <w:vAlign w:val="bottom"/>
            <w:vMerge w:val="restart"/>
          </w:tcPr>
          <w:p>
            <w:pPr>
              <w:ind w:left="60"/>
              <w:spacing w:after="0"/>
              <w:rPr>
                <w:sz w:val="20"/>
                <w:szCs w:val="20"/>
                <w:color w:val="auto"/>
              </w:rPr>
            </w:pPr>
            <w:r>
              <w:rPr>
                <w:rFonts w:ascii="Arial" w:cs="Arial" w:eastAsia="Arial" w:hAnsi="Arial"/>
                <w:sz w:val="16"/>
                <w:szCs w:val="16"/>
                <w:i w:val="1"/>
                <w:iCs w:val="1"/>
                <w:color w:val="auto"/>
              </w:rPr>
              <w:t>(in millions)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0" w:type="dxa"/>
            <w:vAlign w:val="bottom"/>
          </w:tcPr>
          <w:p>
            <w:pPr>
              <w:jc w:val="center"/>
              <w:ind w:right="379"/>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141"/>
        </w:trPr>
        <w:tc>
          <w:tcPr>
            <w:tcW w:w="8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100" w:type="dxa"/>
            <w:vAlign w:val="bottom"/>
          </w:tcPr>
          <w:p>
            <w:pPr>
              <w:spacing w:after="0"/>
              <w:rPr>
                <w:sz w:val="20"/>
                <w:szCs w:val="20"/>
                <w:color w:val="auto"/>
              </w:rPr>
            </w:pPr>
            <w:r>
              <w:rPr>
                <w:rFonts w:ascii="Arial" w:cs="Arial" w:eastAsia="Arial" w:hAnsi="Arial"/>
                <w:sz w:val="16"/>
                <w:szCs w:val="16"/>
                <w:b w:val="1"/>
                <w:bCs w:val="1"/>
                <w:color w:val="auto"/>
              </w:rPr>
              <w:t>Reconciliation of Adjusted EBITDA and Adjusted Free Cash Flow</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140"/>
              <w:spacing w:after="0"/>
              <w:rPr>
                <w:sz w:val="20"/>
                <w:szCs w:val="20"/>
                <w:color w:val="auto"/>
              </w:rPr>
            </w:pPr>
            <w:r>
              <w:rPr>
                <w:rFonts w:ascii="Arial" w:cs="Arial" w:eastAsia="Arial" w:hAnsi="Arial"/>
                <w:sz w:val="16"/>
                <w:szCs w:val="16"/>
                <w:b w:val="1"/>
                <w:bCs w:val="1"/>
                <w:color w:val="auto"/>
              </w:rPr>
              <w:t>to net income:</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spacing w:after="0"/>
              <w:rPr>
                <w:sz w:val="20"/>
                <w:szCs w:val="20"/>
                <w:color w:val="auto"/>
              </w:rPr>
            </w:pPr>
            <w:r>
              <w:rPr>
                <w:rFonts w:ascii="Arial" w:cs="Arial" w:eastAsia="Arial" w:hAnsi="Arial"/>
                <w:sz w:val="16"/>
                <w:szCs w:val="16"/>
                <w:color w:val="auto"/>
              </w:rPr>
              <w:t>Net income</w:t>
            </w:r>
          </w:p>
        </w:tc>
        <w:tc>
          <w:tcPr>
            <w:tcW w:w="440" w:type="dxa"/>
            <w:vAlign w:val="bottom"/>
            <w:gridSpan w:val="2"/>
          </w:tcPr>
          <w:p>
            <w:pPr>
              <w:jc w:val="right"/>
              <w:ind w:right="309"/>
              <w:spacing w:after="0"/>
              <w:rPr>
                <w:sz w:val="20"/>
                <w:szCs w:val="20"/>
                <w:color w:val="auto"/>
              </w:rPr>
            </w:pPr>
            <w:r>
              <w:rPr>
                <w:rFonts w:ascii="Arial" w:cs="Arial" w:eastAsia="Arial" w:hAnsi="Arial"/>
                <w:sz w:val="15"/>
                <w:szCs w:val="15"/>
                <w:color w:val="auto"/>
                <w:w w:val="71"/>
              </w:rPr>
              <w:t>$</w:t>
            </w:r>
          </w:p>
        </w:tc>
        <w:tc>
          <w:tcPr>
            <w:tcW w:w="2600" w:type="dxa"/>
            <w:vAlign w:val="bottom"/>
          </w:tcPr>
          <w:p>
            <w:pPr>
              <w:jc w:val="right"/>
              <w:spacing w:after="0"/>
              <w:rPr>
                <w:sz w:val="20"/>
                <w:szCs w:val="20"/>
                <w:color w:val="auto"/>
              </w:rPr>
            </w:pPr>
            <w:r>
              <w:rPr>
                <w:rFonts w:ascii="Arial" w:cs="Arial" w:eastAsia="Arial" w:hAnsi="Arial"/>
                <w:sz w:val="16"/>
                <w:szCs w:val="16"/>
                <w:color w:val="auto"/>
              </w:rPr>
              <w:t>650 - 700</w:t>
            </w:r>
          </w:p>
        </w:tc>
        <w:tc>
          <w:tcPr>
            <w:tcW w:w="0" w:type="dxa"/>
            <w:vAlign w:val="bottom"/>
          </w:tcPr>
          <w:p>
            <w:pPr>
              <w:spacing w:after="0"/>
              <w:rPr>
                <w:sz w:val="1"/>
                <w:szCs w:val="1"/>
                <w:color w:val="auto"/>
              </w:rPr>
            </w:pPr>
          </w:p>
        </w:tc>
      </w:tr>
      <w:tr>
        <w:trPr>
          <w:trHeight w:val="189"/>
        </w:trPr>
        <w:tc>
          <w:tcPr>
            <w:tcW w:w="8100" w:type="dxa"/>
            <w:vAlign w:val="bottom"/>
          </w:tcPr>
          <w:p>
            <w:pPr>
              <w:spacing w:after="0"/>
              <w:rPr>
                <w:sz w:val="20"/>
                <w:szCs w:val="20"/>
                <w:color w:val="auto"/>
              </w:rPr>
            </w:pPr>
            <w:r>
              <w:rPr>
                <w:rFonts w:ascii="Arial" w:cs="Arial" w:eastAsia="Arial" w:hAnsi="Arial"/>
                <w:sz w:val="16"/>
                <w:szCs w:val="16"/>
                <w:color w:val="auto"/>
              </w:rPr>
              <w:t>Plus:</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80"/>
              <w:spacing w:after="0"/>
              <w:rPr>
                <w:sz w:val="20"/>
                <w:szCs w:val="20"/>
                <w:color w:val="auto"/>
              </w:rPr>
            </w:pPr>
            <w:r>
              <w:rPr>
                <w:rFonts w:ascii="Arial" w:cs="Arial" w:eastAsia="Arial" w:hAnsi="Arial"/>
                <w:sz w:val="16"/>
                <w:szCs w:val="16"/>
                <w:color w:val="auto"/>
              </w:rPr>
              <w:t>Depreciation expense</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0" w:type="dxa"/>
            <w:vAlign w:val="bottom"/>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189"/>
        </w:trPr>
        <w:tc>
          <w:tcPr>
            <w:tcW w:w="8100" w:type="dxa"/>
            <w:vAlign w:val="bottom"/>
          </w:tcPr>
          <w:p>
            <w:pPr>
              <w:ind w:left="80"/>
              <w:spacing w:after="0"/>
              <w:rPr>
                <w:sz w:val="20"/>
                <w:szCs w:val="20"/>
                <w:color w:val="auto"/>
              </w:rPr>
            </w:pPr>
            <w:r>
              <w:rPr>
                <w:rFonts w:ascii="Arial" w:cs="Arial" w:eastAsia="Arial" w:hAnsi="Arial"/>
                <w:sz w:val="16"/>
                <w:szCs w:val="16"/>
                <w:color w:val="auto"/>
              </w:rPr>
              <w:t>Interest expense, net</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0" w:type="dxa"/>
            <w:vAlign w:val="bottom"/>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03"/>
        </w:trPr>
        <w:tc>
          <w:tcPr>
            <w:tcW w:w="8100" w:type="dxa"/>
            <w:vAlign w:val="bottom"/>
          </w:tcPr>
          <w:p>
            <w:pPr>
              <w:ind w:left="80"/>
              <w:spacing w:after="0"/>
              <w:rPr>
                <w:sz w:val="20"/>
                <w:szCs w:val="20"/>
                <w:color w:val="auto"/>
              </w:rPr>
            </w:pPr>
            <w:r>
              <w:rPr>
                <w:rFonts w:ascii="Arial" w:cs="Arial" w:eastAsia="Arial" w:hAnsi="Arial"/>
                <w:sz w:val="16"/>
                <w:szCs w:val="16"/>
                <w:color w:val="auto"/>
              </w:rPr>
              <w:t>Income tax expense</w:t>
            </w:r>
          </w:p>
        </w:tc>
        <w:tc>
          <w:tcPr>
            <w:tcW w:w="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83"/>
        </w:trPr>
        <w:tc>
          <w:tcPr>
            <w:tcW w:w="8100" w:type="dxa"/>
            <w:vAlign w:val="bottom"/>
          </w:tcPr>
          <w:p>
            <w:pPr>
              <w:spacing w:after="0" w:line="183" w:lineRule="exact"/>
              <w:rPr>
                <w:sz w:val="20"/>
                <w:szCs w:val="20"/>
                <w:color w:val="auto"/>
              </w:rPr>
            </w:pPr>
            <w:r>
              <w:rPr>
                <w:rFonts w:ascii="Arial" w:cs="Arial" w:eastAsia="Arial" w:hAnsi="Arial"/>
                <w:sz w:val="16"/>
                <w:szCs w:val="16"/>
                <w:color w:val="auto"/>
              </w:rPr>
              <w:t>Adjusted EBITDA</w:t>
            </w:r>
          </w:p>
        </w:tc>
        <w:tc>
          <w:tcPr>
            <w:tcW w:w="20" w:type="dxa"/>
            <w:vAlign w:val="bottom"/>
          </w:tcPr>
          <w:p>
            <w:pPr>
              <w:spacing w:after="0"/>
              <w:rPr>
                <w:sz w:val="15"/>
                <w:szCs w:val="15"/>
                <w:color w:val="auto"/>
              </w:rPr>
            </w:pPr>
          </w:p>
        </w:tc>
        <w:tc>
          <w:tcPr>
            <w:tcW w:w="420" w:type="dxa"/>
            <w:vAlign w:val="bottom"/>
            <w:tcBorders>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2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1,225 - 1,275</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6"/>
                <w:szCs w:val="16"/>
                <w:color w:val="auto"/>
              </w:rPr>
              <w:t>Less:</w:t>
            </w: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1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80"/>
              <w:spacing w:after="0"/>
              <w:rPr>
                <w:sz w:val="20"/>
                <w:szCs w:val="20"/>
                <w:color w:val="auto"/>
              </w:rPr>
            </w:pPr>
            <w:r>
              <w:rPr>
                <w:rFonts w:ascii="Arial" w:cs="Arial" w:eastAsia="Arial" w:hAnsi="Arial"/>
                <w:sz w:val="16"/>
                <w:szCs w:val="16"/>
                <w:color w:val="auto"/>
              </w:rPr>
              <w:t>Interest, net</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0" w:type="dxa"/>
            <w:vAlign w:val="bottom"/>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03"/>
        </w:trPr>
        <w:tc>
          <w:tcPr>
            <w:tcW w:w="8100" w:type="dxa"/>
            <w:vAlign w:val="bottom"/>
          </w:tcPr>
          <w:p>
            <w:pPr>
              <w:ind w:left="80"/>
              <w:spacing w:after="0"/>
              <w:rPr>
                <w:sz w:val="20"/>
                <w:szCs w:val="20"/>
                <w:color w:val="auto"/>
              </w:rPr>
            </w:pPr>
            <w:r>
              <w:rPr>
                <w:rFonts w:ascii="Arial" w:cs="Arial" w:eastAsia="Arial" w:hAnsi="Arial"/>
                <w:sz w:val="16"/>
                <w:szCs w:val="16"/>
                <w:color w:val="auto"/>
              </w:rPr>
              <w:t>Capital expenditures</w:t>
            </w:r>
          </w:p>
        </w:tc>
        <w:tc>
          <w:tcPr>
            <w:tcW w:w="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83"/>
        </w:trPr>
        <w:tc>
          <w:tcPr>
            <w:tcW w:w="8100" w:type="dxa"/>
            <w:vAlign w:val="bottom"/>
          </w:tcPr>
          <w:p>
            <w:pPr>
              <w:spacing w:after="0" w:line="183" w:lineRule="exact"/>
              <w:rPr>
                <w:sz w:val="20"/>
                <w:szCs w:val="20"/>
                <w:color w:val="auto"/>
              </w:rPr>
            </w:pPr>
            <w:r>
              <w:rPr>
                <w:rFonts w:ascii="Arial" w:cs="Arial" w:eastAsia="Arial" w:hAnsi="Arial"/>
                <w:sz w:val="16"/>
                <w:szCs w:val="16"/>
                <w:color w:val="auto"/>
              </w:rPr>
              <w:t>Adjusted free cash flow</w:t>
            </w:r>
          </w:p>
        </w:tc>
        <w:tc>
          <w:tcPr>
            <w:tcW w:w="20" w:type="dxa"/>
            <w:vAlign w:val="bottom"/>
          </w:tcPr>
          <w:p>
            <w:pPr>
              <w:spacing w:after="0"/>
              <w:rPr>
                <w:sz w:val="15"/>
                <w:szCs w:val="15"/>
                <w:color w:val="auto"/>
              </w:rPr>
            </w:pPr>
          </w:p>
        </w:tc>
        <w:tc>
          <w:tcPr>
            <w:tcW w:w="420" w:type="dxa"/>
            <w:vAlign w:val="bottom"/>
            <w:tcBorders>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2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910 - 960</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line="169" w:lineRule="exact"/>
              <w:rPr>
                <w:sz w:val="20"/>
                <w:szCs w:val="20"/>
                <w:color w:val="auto"/>
              </w:rPr>
            </w:pPr>
            <w:r>
              <w:rPr>
                <w:rFonts w:ascii="Arial" w:cs="Arial" w:eastAsia="Arial" w:hAnsi="Arial"/>
                <w:sz w:val="16"/>
                <w:szCs w:val="16"/>
                <w:color w:val="auto"/>
              </w:rPr>
              <w:t>Less:</w:t>
            </w: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1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8100" w:type="dxa"/>
            <w:vAlign w:val="bottom"/>
          </w:tcPr>
          <w:p>
            <w:pPr>
              <w:ind w:left="80"/>
              <w:spacing w:after="0" w:line="216" w:lineRule="exact"/>
              <w:rPr>
                <w:sz w:val="20"/>
                <w:szCs w:val="20"/>
                <w:color w:val="auto"/>
              </w:rPr>
            </w:pPr>
            <w:r>
              <w:rPr>
                <w:rFonts w:ascii="Arial" w:cs="Arial" w:eastAsia="Arial" w:hAnsi="Arial"/>
                <w:sz w:val="16"/>
                <w:szCs w:val="16"/>
                <w:color w:val="auto"/>
              </w:rPr>
              <w:t>Distributions</w:t>
            </w:r>
            <w:r>
              <w:rPr>
                <w:rFonts w:ascii="Arial" w:cs="Arial" w:eastAsia="Arial" w:hAnsi="Arial"/>
                <w:sz w:val="21"/>
                <w:szCs w:val="21"/>
                <w:color w:val="auto"/>
                <w:vertAlign w:val="superscript"/>
              </w:rPr>
              <w:t>(1)</w:t>
            </w:r>
          </w:p>
        </w:tc>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189"/>
        </w:trPr>
        <w:tc>
          <w:tcPr>
            <w:tcW w:w="8100" w:type="dxa"/>
            <w:vAlign w:val="bottom"/>
          </w:tcPr>
          <w:p>
            <w:pPr>
              <w:spacing w:after="0" w:line="189" w:lineRule="exact"/>
              <w:rPr>
                <w:sz w:val="20"/>
                <w:szCs w:val="20"/>
                <w:color w:val="auto"/>
              </w:rPr>
            </w:pPr>
            <w:r>
              <w:rPr>
                <w:rFonts w:ascii="Arial" w:cs="Arial" w:eastAsia="Arial" w:hAnsi="Arial"/>
                <w:sz w:val="16"/>
                <w:szCs w:val="16"/>
                <w:color w:val="auto"/>
              </w:rPr>
              <w:t>Adjusted free cash flow after distributions</w:t>
            </w:r>
            <w:r>
              <w:rPr>
                <w:rFonts w:ascii="Arial" w:cs="Arial" w:eastAsia="Arial" w:hAnsi="Arial"/>
                <w:sz w:val="21"/>
                <w:szCs w:val="21"/>
                <w:color w:val="auto"/>
                <w:vertAlign w:val="superscript"/>
              </w:rPr>
              <w:t>(2)</w:t>
            </w: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targeted distributions</w:t>
      </w:r>
    </w:p>
    <w:p>
      <w:pPr>
        <w:spacing w:after="0" w:line="15" w:lineRule="exact"/>
        <w:rPr>
          <w:rFonts w:ascii="Arial" w:cs="Arial" w:eastAsia="Arial" w:hAnsi="Arial"/>
          <w:sz w:val="14"/>
          <w:szCs w:val="14"/>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Adjusted Free Cash Flow of approximately $935 million, at guidance midpoint, after funding targeted distributions</w:t>
      </w:r>
    </w:p>
    <w:p>
      <w:pPr>
        <w:spacing w:after="0" w:line="32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497840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9" w:right="4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i w:val="1"/>
          <w:iCs w:val="1"/>
          <w:color w:val="auto"/>
        </w:rPr>
        <w:t>Cautionary Note Regarding Forward-looking Information</w:t>
      </w:r>
    </w:p>
    <w:p>
      <w:pPr>
        <w:spacing w:after="0" w:line="102"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This press release contains “forward-looking statements.” Words such as “anticipate,” “estimate,” “expect,” “forecast,” “guidance,” “drive,” “could,” “may,” “should,” “would,” “enable,” “believe,” “intend,” “focus,” “potential,” “project,” “plan,” “trend,” “predict,” “will,” “target,” “opportunity” and similar expressions, and variations or negatives of these words, are intended to identify forward-looking statements, but not all forward-looking statements include such words.</w:t>
      </w:r>
    </w:p>
    <w:p>
      <w:pPr>
        <w:spacing w:after="0" w:line="66" w:lineRule="exact"/>
        <w:rPr>
          <w:sz w:val="20"/>
          <w:szCs w:val="20"/>
          <w:color w:val="auto"/>
        </w:rPr>
      </w:pPr>
    </w:p>
    <w:p>
      <w:pPr>
        <w:jc w:val="both"/>
        <w:ind w:firstLine="374"/>
        <w:spacing w:after="0" w:line="236" w:lineRule="auto"/>
        <w:rPr>
          <w:sz w:val="20"/>
          <w:szCs w:val="20"/>
          <w:color w:val="auto"/>
        </w:rPr>
      </w:pPr>
      <w:r>
        <w:rPr>
          <w:rFonts w:ascii="Arial" w:cs="Arial" w:eastAsia="Arial" w:hAnsi="Arial"/>
          <w:sz w:val="18"/>
          <w:szCs w:val="18"/>
          <w:color w:val="auto"/>
        </w:rPr>
        <w:t>Forward-looking statements relating to the Company’s operations, assets, and strategy are based on management’s current expectations, assessments, estimates, projections and assumptions about the industry. These statements are not guarantees of future performance and are subject to numerous risks, uncertainties and other factors, many of which are beyond the Company’s control and difficult to predict. Therefore, actual outcomes and results may differ materially from our current projections or expectations of future results expressed or forecasted by these forward-looking statements. Among the important factors that could cause actual results to differ materially from those in our forward-looking statements are: the ability of Chevron and other parties to satisfy their obligations to us, including Chevron's ability to meet its drilling and development plans on a timely basis or at all, its ability to deliver its nominated volumes to us, and the operation of joint ventures that we may not control; our ability to generate sufficient cash flow to pay current and expected levels of distributions; reductions in the volumes of crude oil, natural gas, natural gas liquids (“NGLs”) and produced water we gather, process, terminal or store; the actual volumes we gather, process, terminal or store for Chevron in excess of our MVCs and relative to Chevron's nominations; fluctuations in the prices and demand for crude oil, natural gas and NGLs; changes in global economic conditions and the effects of a global economic downturn or inflation on our business and the businesses of our suppliers, customers, business partners and lenders; our ability to comply with government regulations or make capital expenditures required to maintain compliance, including our ability to obtain or maintain permits necessary for capital projects in a timely manner, if at all, or the revocation or modification of existing permits; our ability to successfully identify, evaluate and timely execute our capital projects, investment opportunities and growth strategies, whether through organic growth or acquisitions; costs or liabilities associated with federal, state and local laws, regulations and governmental actions applicable to our business, including legislation and regulatory initiatives relating to environmental protection and health and safety, such as spills, releases, pipeline integrity and measures to limit greenhouse gas emissions and climate change; our ability to comply with the terms of our credit facility, indebtedness and other financing arrangements, which, if accelerated, we may not be able to repay; reduced demand for our midstream services, including the impact of weather or the availability of competing third-party midstream gathering, processing and transportation operations; potential disruption or interruption of our business due to natural and human causes beyond our control, such as accidents, severe weather events, labor disputes, political crises, information technology failures, constraints or disruptions and cyber-attacks; any limitations on our ability to access debt or capital markets on terms that we deem acceptable, including as a result of changes in credit ratings, weakness in the oil and gas industry or negative outcomes within commodity and financial markets; liability resulting from litigation; risks and uncertainties associated with Hess’ integration with Chevron; and other factors described in Item 1A—Risk Factors in our Annual Report on Form 10-K and any additional risks described in our other filings with the Securities and Exchange Commission.</w:t>
      </w:r>
    </w:p>
    <w:p>
      <w:pPr>
        <w:spacing w:after="0" w:line="81"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Other unpredictable or unknown factors not discussed in this press release could also cause actual results to differ materially from those in our forward-looking statements. Caution should be taken not to place undue reliance on any such forward-looking statements since such statements speak only as of the date of this press release. Except as required by law, we undertake no obligation to publicly update or revise any forward-looking statements, whether because of new information, future events or otherwise.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Hess Midstream 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Jennifer Gordon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(212) 536-8244</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497840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11" w:name="page12"/>
    <w:bookmarkEnd w:id="11"/>
    <w:p>
      <w:pPr>
        <w:jc w:val="center"/>
        <w:ind w:right="-119"/>
        <w:spacing w:after="0"/>
        <w:rPr>
          <w:sz w:val="20"/>
          <w:szCs w:val="20"/>
          <w:color w:val="auto"/>
        </w:rPr>
      </w:pPr>
      <w:r>
        <w:rPr>
          <w:rFonts w:ascii="Arial" w:cs="Arial" w:eastAsia="Arial" w:hAnsi="Arial"/>
          <w:sz w:val="18"/>
          <w:szCs w:val="18"/>
          <w:b w:val="1"/>
          <w:bCs w:val="1"/>
          <w:color w:val="auto"/>
        </w:rPr>
        <w:t>HESS MIDSTREAM LP</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SUPPLEMENTAL FINANCIAL DATA (UNAUDITED)</w:t>
      </w:r>
    </w:p>
    <w:p>
      <w:pPr>
        <w:jc w:val="center"/>
        <w:ind w:right="-119"/>
        <w:spacing w:after="0"/>
        <w:rPr>
          <w:sz w:val="20"/>
          <w:szCs w:val="20"/>
          <w:color w:val="auto"/>
        </w:rPr>
      </w:pPr>
      <w:r>
        <w:rPr>
          <w:rFonts w:ascii="Arial" w:cs="Arial" w:eastAsia="Arial" w:hAnsi="Arial"/>
          <w:sz w:val="18"/>
          <w:szCs w:val="18"/>
          <w:b w:val="1"/>
          <w:bCs w:val="1"/>
          <w:color w:val="auto"/>
        </w:rPr>
        <w:t>(IN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39"/>
              <w:spacing w:after="0"/>
              <w:rPr>
                <w:sz w:val="20"/>
                <w:szCs w:val="20"/>
                <w:color w:val="auto"/>
              </w:rPr>
            </w:pPr>
            <w:r>
              <w:rPr>
                <w:rFonts w:ascii="Arial" w:cs="Arial" w:eastAsia="Arial" w:hAnsi="Arial"/>
                <w:sz w:val="16"/>
                <w:szCs w:val="16"/>
                <w:b w:val="1"/>
                <w:bCs w:val="1"/>
                <w:color w:val="auto"/>
                <w:w w:val="97"/>
              </w:rPr>
              <w:t>First</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7"/>
              </w:rPr>
              <w:t>First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Fourth</w:t>
            </w: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39"/>
              <w:spacing w:after="0"/>
              <w:rPr>
                <w:sz w:val="20"/>
                <w:szCs w:val="20"/>
                <w:color w:val="auto"/>
              </w:rPr>
            </w:pPr>
            <w:r>
              <w:rPr>
                <w:rFonts w:ascii="Arial" w:cs="Arial" w:eastAsia="Arial" w:hAnsi="Arial"/>
                <w:sz w:val="16"/>
                <w:szCs w:val="16"/>
                <w:b w:val="1"/>
                <w:bCs w:val="1"/>
                <w:color w:val="auto"/>
              </w:rPr>
              <w:t>Quarter</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Quarter</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Quarter</w:t>
            </w:r>
          </w:p>
        </w:tc>
        <w:tc>
          <w:tcPr>
            <w:tcW w:w="0" w:type="dxa"/>
            <w:vAlign w:val="bottom"/>
          </w:tcPr>
          <w:p>
            <w:pPr>
              <w:spacing w:after="0"/>
              <w:rPr>
                <w:sz w:val="1"/>
                <w:szCs w:val="1"/>
                <w:color w:val="auto"/>
              </w:rPr>
            </w:pPr>
          </w:p>
        </w:tc>
      </w:tr>
      <w:tr>
        <w:trPr>
          <w:trHeight w:val="203"/>
        </w:trPr>
        <w:tc>
          <w:tcPr>
            <w:tcW w:w="66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Statement of operations</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2026</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6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860" w:type="dxa"/>
            <w:vAlign w:val="bottom"/>
            <w:tcBorders>
              <w:top w:val="single" w:sz="8" w:color="auto"/>
            </w:tcBorders>
          </w:tcPr>
          <w:p>
            <w:pPr>
              <w:spacing w:after="0" w:line="182" w:lineRule="exact"/>
              <w:rPr>
                <w:sz w:val="20"/>
                <w:szCs w:val="20"/>
                <w:color w:val="auto"/>
              </w:rPr>
            </w:pPr>
            <w:r>
              <w:rPr>
                <w:rFonts w:ascii="Arial" w:cs="Arial" w:eastAsia="Arial" w:hAnsi="Arial"/>
                <w:sz w:val="16"/>
                <w:szCs w:val="16"/>
                <w:color w:val="auto"/>
              </w:rPr>
              <w:t>Revenues</w:t>
            </w:r>
          </w:p>
        </w:tc>
        <w:tc>
          <w:tcPr>
            <w:tcW w:w="4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80" w:type="dxa"/>
            <w:vAlign w:val="bottom"/>
            <w:gridSpan w:val="2"/>
          </w:tcPr>
          <w:p>
            <w:pPr>
              <w:ind w:left="120"/>
              <w:spacing w:after="0"/>
              <w:rPr>
                <w:sz w:val="20"/>
                <w:szCs w:val="20"/>
                <w:color w:val="auto"/>
              </w:rPr>
            </w:pPr>
            <w:r>
              <w:rPr>
                <w:rFonts w:ascii="Arial" w:cs="Arial" w:eastAsia="Arial" w:hAnsi="Arial"/>
                <w:sz w:val="16"/>
                <w:szCs w:val="16"/>
                <w:color w:val="auto"/>
              </w:rPr>
              <w:t>Affiliate services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373.1</w:t>
            </w:r>
          </w:p>
        </w:tc>
        <w:tc>
          <w:tcPr>
            <w:tcW w:w="4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374.3</w:t>
            </w:r>
          </w:p>
        </w:tc>
        <w:tc>
          <w:tcPr>
            <w:tcW w:w="34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388.4</w:t>
            </w:r>
          </w:p>
        </w:tc>
        <w:tc>
          <w:tcPr>
            <w:tcW w:w="0" w:type="dxa"/>
            <w:vAlign w:val="bottom"/>
          </w:tcPr>
          <w:p>
            <w:pPr>
              <w:spacing w:after="0"/>
              <w:rPr>
                <w:sz w:val="1"/>
                <w:szCs w:val="1"/>
                <w:color w:val="auto"/>
              </w:rPr>
            </w:pPr>
          </w:p>
        </w:tc>
      </w:tr>
      <w:tr>
        <w:trPr>
          <w:trHeight w:val="189"/>
        </w:trPr>
        <w:tc>
          <w:tcPr>
            <w:tcW w:w="6680" w:type="dxa"/>
            <w:vAlign w:val="bottom"/>
            <w:gridSpan w:val="2"/>
          </w:tcPr>
          <w:p>
            <w:pPr>
              <w:ind w:left="120"/>
              <w:spacing w:after="0"/>
              <w:rPr>
                <w:sz w:val="20"/>
                <w:szCs w:val="20"/>
                <w:color w:val="auto"/>
              </w:rPr>
            </w:pPr>
            <w:r>
              <w:rPr>
                <w:rFonts w:ascii="Arial" w:cs="Arial" w:eastAsia="Arial" w:hAnsi="Arial"/>
                <w:sz w:val="16"/>
                <w:szCs w:val="16"/>
                <w:color w:val="auto"/>
              </w:rPr>
              <w:t>Third-party services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15.6</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3"/>
        </w:trPr>
        <w:tc>
          <w:tcPr>
            <w:tcW w:w="6680" w:type="dxa"/>
            <w:vAlign w:val="bottom"/>
            <w:gridSpan w:val="2"/>
          </w:tcPr>
          <w:p>
            <w:pPr>
              <w:ind w:left="120"/>
              <w:spacing w:after="0"/>
              <w:rPr>
                <w:sz w:val="20"/>
                <w:szCs w:val="20"/>
                <w:color w:val="auto"/>
              </w:rPr>
            </w:pPr>
            <w:r>
              <w:rPr>
                <w:rFonts w:ascii="Arial" w:cs="Arial" w:eastAsia="Arial" w:hAnsi="Arial"/>
                <w:sz w:val="16"/>
                <w:szCs w:val="16"/>
                <w:color w:val="auto"/>
              </w:rPr>
              <w:t>Other income</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3"/>
        </w:trPr>
        <w:tc>
          <w:tcPr>
            <w:tcW w:w="6680" w:type="dxa"/>
            <w:vAlign w:val="bottom"/>
            <w:gridSpan w:val="2"/>
          </w:tcPr>
          <w:p>
            <w:pPr>
              <w:spacing w:after="0" w:line="183" w:lineRule="exact"/>
              <w:rPr>
                <w:sz w:val="20"/>
                <w:szCs w:val="20"/>
                <w:color w:val="auto"/>
              </w:rPr>
            </w:pPr>
            <w:r>
              <w:rPr>
                <w:rFonts w:ascii="Arial" w:cs="Arial" w:eastAsia="Arial" w:hAnsi="Arial"/>
                <w:sz w:val="16"/>
                <w:szCs w:val="16"/>
                <w:color w:val="auto"/>
              </w:rPr>
              <w:t>Total revenues</w:t>
            </w:r>
          </w:p>
        </w:tc>
        <w:tc>
          <w:tcPr>
            <w:tcW w:w="2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390.1</w:t>
            </w:r>
          </w:p>
        </w:tc>
        <w:tc>
          <w:tcPr>
            <w:tcW w:w="24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382.0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680" w:type="dxa"/>
            <w:vAlign w:val="bottom"/>
            <w:gridSpan w:val="2"/>
          </w:tcPr>
          <w:p>
            <w:pPr>
              <w:ind w:left="60"/>
              <w:spacing w:after="0" w:line="168" w:lineRule="exact"/>
              <w:rPr>
                <w:sz w:val="20"/>
                <w:szCs w:val="20"/>
                <w:color w:val="auto"/>
              </w:rPr>
            </w:pPr>
            <w:r>
              <w:rPr>
                <w:rFonts w:ascii="Arial" w:cs="Arial" w:eastAsia="Arial" w:hAnsi="Arial"/>
                <w:sz w:val="16"/>
                <w:szCs w:val="16"/>
                <w:color w:val="auto"/>
              </w:rPr>
              <w:t>Costs and expenses</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680" w:type="dxa"/>
            <w:vAlign w:val="bottom"/>
            <w:gridSpan w:val="2"/>
          </w:tcPr>
          <w:p>
            <w:pPr>
              <w:ind w:left="120"/>
              <w:spacing w:after="0"/>
              <w:rPr>
                <w:sz w:val="20"/>
                <w:szCs w:val="20"/>
                <w:color w:val="auto"/>
              </w:rPr>
            </w:pPr>
            <w:r>
              <w:rPr>
                <w:rFonts w:ascii="Arial" w:cs="Arial" w:eastAsia="Arial" w:hAnsi="Arial"/>
                <w:sz w:val="16"/>
                <w:szCs w:val="16"/>
                <w:color w:val="auto"/>
              </w:rPr>
              <w:t>Operating and maintenance expenses</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80" w:type="dxa"/>
            <w:vAlign w:val="bottom"/>
            <w:gridSpan w:val="2"/>
          </w:tcPr>
          <w:p>
            <w:pPr>
              <w:ind w:left="220"/>
              <w:spacing w:after="0"/>
              <w:rPr>
                <w:sz w:val="20"/>
                <w:szCs w:val="20"/>
                <w:color w:val="auto"/>
              </w:rPr>
            </w:pPr>
            <w:r>
              <w:rPr>
                <w:rFonts w:ascii="Arial" w:cs="Arial" w:eastAsia="Arial" w:hAnsi="Arial"/>
                <w:sz w:val="16"/>
                <w:szCs w:val="16"/>
                <w:color w:val="auto"/>
              </w:rPr>
              <w:t>(exclusive of depreciation shown separately below)</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85.6</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85.6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92.8</w:t>
            </w:r>
          </w:p>
        </w:tc>
        <w:tc>
          <w:tcPr>
            <w:tcW w:w="0" w:type="dxa"/>
            <w:vAlign w:val="bottom"/>
          </w:tcPr>
          <w:p>
            <w:pPr>
              <w:spacing w:after="0"/>
              <w:rPr>
                <w:sz w:val="1"/>
                <w:szCs w:val="1"/>
                <w:color w:val="auto"/>
              </w:rPr>
            </w:pPr>
          </w:p>
        </w:tc>
      </w:tr>
      <w:tr>
        <w:trPr>
          <w:trHeight w:val="189"/>
        </w:trPr>
        <w:tc>
          <w:tcPr>
            <w:tcW w:w="6680" w:type="dxa"/>
            <w:vAlign w:val="bottom"/>
            <w:gridSpan w:val="2"/>
          </w:tcPr>
          <w:p>
            <w:pPr>
              <w:ind w:left="120"/>
              <w:spacing w:after="0"/>
              <w:rPr>
                <w:sz w:val="20"/>
                <w:szCs w:val="20"/>
                <w:color w:val="auto"/>
              </w:rPr>
            </w:pPr>
            <w:r>
              <w:rPr>
                <w:rFonts w:ascii="Arial" w:cs="Arial" w:eastAsia="Arial" w:hAnsi="Arial"/>
                <w:sz w:val="16"/>
                <w:szCs w:val="16"/>
                <w:color w:val="auto"/>
              </w:rPr>
              <w:t>Depreciation expense</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51.5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54.2</w:t>
            </w:r>
          </w:p>
        </w:tc>
        <w:tc>
          <w:tcPr>
            <w:tcW w:w="0" w:type="dxa"/>
            <w:vAlign w:val="bottom"/>
          </w:tcPr>
          <w:p>
            <w:pPr>
              <w:spacing w:after="0"/>
              <w:rPr>
                <w:sz w:val="1"/>
                <w:szCs w:val="1"/>
                <w:color w:val="auto"/>
              </w:rPr>
            </w:pPr>
          </w:p>
        </w:tc>
      </w:tr>
      <w:tr>
        <w:trPr>
          <w:trHeight w:val="203"/>
        </w:trPr>
        <w:tc>
          <w:tcPr>
            <w:tcW w:w="6680" w:type="dxa"/>
            <w:vAlign w:val="bottom"/>
            <w:gridSpan w:val="2"/>
          </w:tcPr>
          <w:p>
            <w:pPr>
              <w:ind w:left="120"/>
              <w:spacing w:after="0"/>
              <w:rPr>
                <w:sz w:val="20"/>
                <w:szCs w:val="20"/>
                <w:color w:val="auto"/>
              </w:rPr>
            </w:pPr>
            <w:r>
              <w:rPr>
                <w:rFonts w:ascii="Arial" w:cs="Arial" w:eastAsia="Arial" w:hAnsi="Arial"/>
                <w:sz w:val="16"/>
                <w:szCs w:val="16"/>
                <w:color w:val="auto"/>
              </w:rPr>
              <w:t>General and administrative expenses</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83"/>
        </w:trPr>
        <w:tc>
          <w:tcPr>
            <w:tcW w:w="6680" w:type="dxa"/>
            <w:vAlign w:val="bottom"/>
            <w:gridSpan w:val="2"/>
          </w:tcPr>
          <w:p>
            <w:pPr>
              <w:spacing w:after="0" w:line="183" w:lineRule="exact"/>
              <w:rPr>
                <w:sz w:val="20"/>
                <w:szCs w:val="20"/>
                <w:color w:val="auto"/>
              </w:rPr>
            </w:pPr>
            <w:r>
              <w:rPr>
                <w:rFonts w:ascii="Arial" w:cs="Arial" w:eastAsia="Arial" w:hAnsi="Arial"/>
                <w:sz w:val="16"/>
                <w:szCs w:val="16"/>
                <w:color w:val="auto"/>
              </w:rPr>
              <w:t>Total operating costs and expenses</w:t>
            </w:r>
          </w:p>
        </w:tc>
        <w:tc>
          <w:tcPr>
            <w:tcW w:w="2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152.0</w:t>
            </w:r>
          </w:p>
        </w:tc>
        <w:tc>
          <w:tcPr>
            <w:tcW w:w="24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144.6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680" w:type="dxa"/>
            <w:vAlign w:val="bottom"/>
            <w:gridSpan w:val="2"/>
          </w:tcPr>
          <w:p>
            <w:pPr>
              <w:spacing w:after="0" w:line="168" w:lineRule="exact"/>
              <w:rPr>
                <w:sz w:val="20"/>
                <w:szCs w:val="20"/>
                <w:color w:val="auto"/>
              </w:rPr>
            </w:pPr>
            <w:r>
              <w:rPr>
                <w:rFonts w:ascii="Arial" w:cs="Arial" w:eastAsia="Arial" w:hAnsi="Arial"/>
                <w:sz w:val="16"/>
                <w:szCs w:val="16"/>
                <w:color w:val="auto"/>
              </w:rPr>
              <w:t>Income from operations</w:t>
            </w:r>
          </w:p>
        </w:tc>
        <w:tc>
          <w:tcPr>
            <w:tcW w:w="22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Arial" w:cs="Arial" w:eastAsia="Arial" w:hAnsi="Arial"/>
                <w:sz w:val="16"/>
                <w:szCs w:val="16"/>
                <w:color w:val="auto"/>
              </w:rPr>
              <w:t>238.1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Arial" w:cs="Arial" w:eastAsia="Arial" w:hAnsi="Arial"/>
                <w:sz w:val="16"/>
                <w:szCs w:val="16"/>
                <w:color w:val="auto"/>
              </w:rPr>
              <w:t>237.4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Arial" w:cs="Arial" w:eastAsia="Arial" w:hAnsi="Arial"/>
                <w:sz w:val="16"/>
                <w:szCs w:val="16"/>
                <w:color w:val="auto"/>
              </w:rPr>
              <w:t>251.6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680" w:type="dxa"/>
            <w:vAlign w:val="bottom"/>
            <w:gridSpan w:val="2"/>
          </w:tcPr>
          <w:p>
            <w:pPr>
              <w:ind w:left="120"/>
              <w:spacing w:after="0"/>
              <w:rPr>
                <w:sz w:val="20"/>
                <w:szCs w:val="20"/>
                <w:color w:val="auto"/>
              </w:rPr>
            </w:pPr>
            <w:r>
              <w:rPr>
                <w:rFonts w:ascii="Arial" w:cs="Arial" w:eastAsia="Arial" w:hAnsi="Arial"/>
                <w:sz w:val="16"/>
                <w:szCs w:val="16"/>
                <w:color w:val="auto"/>
              </w:rPr>
              <w:t>Income from equity investments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3"/>
        </w:trPr>
        <w:tc>
          <w:tcPr>
            <w:tcW w:w="6680" w:type="dxa"/>
            <w:vAlign w:val="bottom"/>
            <w:gridSpan w:val="2"/>
          </w:tcPr>
          <w:p>
            <w:pPr>
              <w:ind w:left="12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56.4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168"/>
        </w:trPr>
        <w:tc>
          <w:tcPr>
            <w:tcW w:w="6680" w:type="dxa"/>
            <w:vAlign w:val="bottom"/>
            <w:gridSpan w:val="2"/>
          </w:tcPr>
          <w:p>
            <w:pPr>
              <w:spacing w:after="0" w:line="168" w:lineRule="exact"/>
              <w:rPr>
                <w:sz w:val="20"/>
                <w:szCs w:val="20"/>
                <w:color w:val="auto"/>
              </w:rPr>
            </w:pPr>
            <w:r>
              <w:rPr>
                <w:rFonts w:ascii="Arial" w:cs="Arial" w:eastAsia="Arial" w:hAnsi="Arial"/>
                <w:sz w:val="16"/>
                <w:szCs w:val="16"/>
                <w:color w:val="auto"/>
              </w:rPr>
              <w:t>Income before income tax expense</w:t>
            </w: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185.9</w:t>
            </w: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184.4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198.2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680" w:type="dxa"/>
            <w:vAlign w:val="bottom"/>
            <w:gridSpan w:val="2"/>
          </w:tcPr>
          <w:p>
            <w:pPr>
              <w:ind w:left="120"/>
              <w:spacing w:after="0"/>
              <w:rPr>
                <w:sz w:val="20"/>
                <w:szCs w:val="20"/>
                <w:color w:val="auto"/>
              </w:rPr>
            </w:pPr>
            <w:r>
              <w:rPr>
                <w:rFonts w:ascii="Arial" w:cs="Arial" w:eastAsia="Arial" w:hAnsi="Arial"/>
                <w:sz w:val="16"/>
                <w:szCs w:val="16"/>
                <w:color w:val="auto"/>
              </w:rPr>
              <w:t>Income tax expense</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183"/>
        </w:trPr>
        <w:tc>
          <w:tcPr>
            <w:tcW w:w="6680" w:type="dxa"/>
            <w:vAlign w:val="bottom"/>
            <w:gridSpan w:val="2"/>
          </w:tcPr>
          <w:p>
            <w:pPr>
              <w:spacing w:after="0" w:line="183" w:lineRule="exact"/>
              <w:rPr>
                <w:sz w:val="20"/>
                <w:szCs w:val="20"/>
                <w:color w:val="auto"/>
              </w:rPr>
            </w:pPr>
            <w:r>
              <w:rPr>
                <w:rFonts w:ascii="Arial" w:cs="Arial" w:eastAsia="Arial" w:hAnsi="Arial"/>
                <w:sz w:val="16"/>
                <w:szCs w:val="16"/>
                <w:color w:val="auto"/>
              </w:rPr>
              <w:t>Net income</w:t>
            </w: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157.7</w:t>
            </w:r>
          </w:p>
        </w:tc>
        <w:tc>
          <w:tcPr>
            <w:tcW w:w="24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161.4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680" w:type="dxa"/>
            <w:vAlign w:val="bottom"/>
            <w:gridSpan w:val="2"/>
          </w:tcPr>
          <w:p>
            <w:pPr>
              <w:ind w:left="120"/>
              <w:spacing w:after="0" w:line="168" w:lineRule="exact"/>
              <w:rPr>
                <w:sz w:val="20"/>
                <w:szCs w:val="20"/>
                <w:color w:val="auto"/>
              </w:rPr>
            </w:pPr>
            <w:r>
              <w:rPr>
                <w:rFonts w:ascii="Arial" w:cs="Arial" w:eastAsia="Arial" w:hAnsi="Arial"/>
                <w:sz w:val="16"/>
                <w:szCs w:val="16"/>
                <w:color w:val="auto"/>
              </w:rPr>
              <w:t>Less: Net income attributable to noncontrolling</w:t>
            </w:r>
          </w:p>
        </w:tc>
        <w:tc>
          <w:tcPr>
            <w:tcW w:w="2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70.1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89.8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74.7</w:t>
            </w:r>
          </w:p>
        </w:tc>
        <w:tc>
          <w:tcPr>
            <w:tcW w:w="0" w:type="dxa"/>
            <w:vAlign w:val="bottom"/>
          </w:tcPr>
          <w:p>
            <w:pPr>
              <w:spacing w:after="0"/>
              <w:rPr>
                <w:sz w:val="1"/>
                <w:szCs w:val="1"/>
                <w:color w:val="auto"/>
              </w:rPr>
            </w:pPr>
          </w:p>
        </w:tc>
      </w:tr>
      <w:tr>
        <w:trPr>
          <w:trHeight w:val="190"/>
        </w:trPr>
        <w:tc>
          <w:tcPr>
            <w:tcW w:w="6680" w:type="dxa"/>
            <w:vAlign w:val="bottom"/>
            <w:gridSpan w:val="2"/>
          </w:tcPr>
          <w:p>
            <w:pPr>
              <w:ind w:left="260"/>
              <w:spacing w:after="0"/>
              <w:rPr>
                <w:sz w:val="20"/>
                <w:szCs w:val="20"/>
                <w:color w:val="auto"/>
              </w:rPr>
            </w:pPr>
            <w:r>
              <w:rPr>
                <w:rFonts w:ascii="Arial" w:cs="Arial" w:eastAsia="Arial" w:hAnsi="Arial"/>
                <w:sz w:val="16"/>
                <w:szCs w:val="16"/>
                <w:color w:val="auto"/>
              </w:rPr>
              <w:t>interest</w:t>
            </w: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80" w:type="dxa"/>
            <w:vAlign w:val="bottom"/>
            <w:gridSpan w:val="2"/>
          </w:tcPr>
          <w:p>
            <w:pPr>
              <w:spacing w:after="0" w:line="183" w:lineRule="exact"/>
              <w:rPr>
                <w:sz w:val="20"/>
                <w:szCs w:val="20"/>
                <w:color w:val="auto"/>
              </w:rPr>
            </w:pPr>
            <w:r>
              <w:rPr>
                <w:rFonts w:ascii="Arial" w:cs="Arial" w:eastAsia="Arial" w:hAnsi="Arial"/>
                <w:sz w:val="16"/>
                <w:szCs w:val="16"/>
                <w:color w:val="auto"/>
              </w:rPr>
              <w:t>Net income attributable to Hess Midstream LP</w:t>
            </w: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87.6</w:t>
            </w:r>
          </w:p>
        </w:tc>
        <w:tc>
          <w:tcPr>
            <w:tcW w:w="24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71.6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6"/>
                <w:szCs w:val="16"/>
                <w:color w:val="auto"/>
              </w:rPr>
              <w:t>Net income attributable to Hess Midstream LP</w:t>
            </w: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6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680" w:type="dxa"/>
            <w:vAlign w:val="bottom"/>
            <w:gridSpan w:val="2"/>
          </w:tcPr>
          <w:p>
            <w:pPr>
              <w:ind w:left="140"/>
              <w:spacing w:after="0"/>
              <w:rPr>
                <w:sz w:val="20"/>
                <w:szCs w:val="20"/>
                <w:color w:val="auto"/>
              </w:rPr>
            </w:pPr>
            <w:r>
              <w:rPr>
                <w:rFonts w:ascii="Arial" w:cs="Arial" w:eastAsia="Arial" w:hAnsi="Arial"/>
                <w:sz w:val="16"/>
                <w:szCs w:val="16"/>
                <w:color w:val="auto"/>
              </w:rPr>
              <w:t>per Class A share:</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80" w:type="dxa"/>
            <w:vAlign w:val="bottom"/>
            <w:gridSpan w:val="2"/>
          </w:tcPr>
          <w:p>
            <w:pPr>
              <w:ind w:left="120"/>
              <w:spacing w:after="0"/>
              <w:rPr>
                <w:sz w:val="20"/>
                <w:szCs w:val="20"/>
                <w:color w:val="auto"/>
              </w:rPr>
            </w:pPr>
            <w:r>
              <w:rPr>
                <w:rFonts w:ascii="Arial" w:cs="Arial" w:eastAsia="Arial" w:hAnsi="Arial"/>
                <w:sz w:val="16"/>
                <w:szCs w:val="16"/>
                <w:color w:val="auto"/>
              </w:rPr>
              <w:t>Basic</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0.68</w:t>
            </w:r>
          </w:p>
        </w:tc>
        <w:tc>
          <w:tcPr>
            <w:tcW w:w="4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0.65</w:t>
            </w:r>
          </w:p>
        </w:tc>
        <w:tc>
          <w:tcPr>
            <w:tcW w:w="34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0.72</w:t>
            </w:r>
          </w:p>
        </w:tc>
        <w:tc>
          <w:tcPr>
            <w:tcW w:w="0" w:type="dxa"/>
            <w:vAlign w:val="bottom"/>
          </w:tcPr>
          <w:p>
            <w:pPr>
              <w:spacing w:after="0"/>
              <w:rPr>
                <w:sz w:val="1"/>
                <w:szCs w:val="1"/>
                <w:color w:val="auto"/>
              </w:rPr>
            </w:pPr>
          </w:p>
        </w:tc>
      </w:tr>
      <w:tr>
        <w:trPr>
          <w:trHeight w:val="189"/>
        </w:trPr>
        <w:tc>
          <w:tcPr>
            <w:tcW w:w="6680" w:type="dxa"/>
            <w:vAlign w:val="bottom"/>
            <w:gridSpan w:val="2"/>
          </w:tcPr>
          <w:p>
            <w:pPr>
              <w:ind w:left="120"/>
              <w:spacing w:after="0"/>
              <w:rPr>
                <w:sz w:val="20"/>
                <w:szCs w:val="20"/>
                <w:color w:val="auto"/>
              </w:rPr>
            </w:pPr>
            <w:r>
              <w:rPr>
                <w:rFonts w:ascii="Arial" w:cs="Arial" w:eastAsia="Arial" w:hAnsi="Arial"/>
                <w:sz w:val="16"/>
                <w:szCs w:val="16"/>
                <w:color w:val="auto"/>
              </w:rPr>
              <w:t>Diluted</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0.68</w:t>
            </w:r>
          </w:p>
        </w:tc>
        <w:tc>
          <w:tcPr>
            <w:tcW w:w="4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0.65</w:t>
            </w:r>
          </w:p>
        </w:tc>
        <w:tc>
          <w:tcPr>
            <w:tcW w:w="34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0.72</w:t>
            </w:r>
          </w:p>
        </w:tc>
        <w:tc>
          <w:tcPr>
            <w:tcW w:w="0" w:type="dxa"/>
            <w:vAlign w:val="bottom"/>
          </w:tcPr>
          <w:p>
            <w:pPr>
              <w:spacing w:after="0"/>
              <w:rPr>
                <w:sz w:val="1"/>
                <w:szCs w:val="1"/>
                <w:color w:val="auto"/>
              </w:rPr>
            </w:pPr>
          </w:p>
        </w:tc>
      </w:tr>
      <w:tr>
        <w:trPr>
          <w:trHeight w:val="189"/>
        </w:trPr>
        <w:tc>
          <w:tcPr>
            <w:tcW w:w="6680" w:type="dxa"/>
            <w:vAlign w:val="bottom"/>
            <w:gridSpan w:val="2"/>
          </w:tcPr>
          <w:p>
            <w:pPr>
              <w:spacing w:after="0"/>
              <w:rPr>
                <w:sz w:val="20"/>
                <w:szCs w:val="20"/>
                <w:color w:val="auto"/>
              </w:rPr>
            </w:pPr>
            <w:r>
              <w:rPr>
                <w:rFonts w:ascii="Arial" w:cs="Arial" w:eastAsia="Arial" w:hAnsi="Arial"/>
                <w:sz w:val="16"/>
                <w:szCs w:val="16"/>
                <w:color w:val="auto"/>
              </w:rPr>
              <w:t>Weighted average Class A shares outstanding</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80" w:type="dxa"/>
            <w:vAlign w:val="bottom"/>
            <w:gridSpan w:val="2"/>
          </w:tcPr>
          <w:p>
            <w:pPr>
              <w:ind w:left="120"/>
              <w:spacing w:after="0"/>
              <w:rPr>
                <w:sz w:val="20"/>
                <w:szCs w:val="20"/>
                <w:color w:val="auto"/>
              </w:rPr>
            </w:pPr>
            <w:r>
              <w:rPr>
                <w:rFonts w:ascii="Arial" w:cs="Arial" w:eastAsia="Arial" w:hAnsi="Arial"/>
                <w:sz w:val="16"/>
                <w:szCs w:val="16"/>
                <w:color w:val="auto"/>
              </w:rPr>
              <w:t>Basic</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129.2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110.7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129.4</w:t>
            </w:r>
          </w:p>
        </w:tc>
        <w:tc>
          <w:tcPr>
            <w:tcW w:w="0" w:type="dxa"/>
            <w:vAlign w:val="bottom"/>
          </w:tcPr>
          <w:p>
            <w:pPr>
              <w:spacing w:after="0"/>
              <w:rPr>
                <w:sz w:val="1"/>
                <w:szCs w:val="1"/>
                <w:color w:val="auto"/>
              </w:rPr>
            </w:pPr>
          </w:p>
        </w:tc>
      </w:tr>
      <w:tr>
        <w:trPr>
          <w:trHeight w:val="215"/>
        </w:trPr>
        <w:tc>
          <w:tcPr>
            <w:tcW w:w="6680" w:type="dxa"/>
            <w:vAlign w:val="bottom"/>
            <w:gridSpan w:val="2"/>
          </w:tcPr>
          <w:p>
            <w:pPr>
              <w:ind w:left="12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129.2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110.8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129.4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497840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5" w:right="459" w:bottom="1440" w:gutter="0" w:footer="0" w:header="0"/>
        </w:sectPr>
      </w:pPr>
    </w:p>
    <w:bookmarkStart w:id="12" w:name="page13"/>
    <w:bookmarkEnd w:id="12"/>
    <w:p>
      <w:pPr>
        <w:jc w:val="center"/>
        <w:ind w:right="-99"/>
        <w:spacing w:after="0"/>
        <w:rPr>
          <w:sz w:val="20"/>
          <w:szCs w:val="20"/>
          <w:color w:val="auto"/>
        </w:rPr>
      </w:pPr>
      <w:r>
        <w:rPr>
          <w:rFonts w:ascii="Arial" w:cs="Arial" w:eastAsia="Arial" w:hAnsi="Arial"/>
          <w:sz w:val="18"/>
          <w:szCs w:val="18"/>
          <w:b w:val="1"/>
          <w:bCs w:val="1"/>
          <w:color w:val="auto"/>
        </w:rPr>
        <w:t>HESS MIDSTREAM LP</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SUPPLEMENTAL FINANCIAL DATA (UNAUDITED)</w:t>
      </w:r>
    </w:p>
    <w:p>
      <w:pPr>
        <w:jc w:val="center"/>
        <w:ind w:right="-99"/>
        <w:spacing w:after="0"/>
        <w:rPr>
          <w:sz w:val="20"/>
          <w:szCs w:val="20"/>
          <w:color w:val="auto"/>
        </w:rPr>
      </w:pPr>
      <w:r>
        <w:rPr>
          <w:rFonts w:ascii="Arial" w:cs="Arial" w:eastAsia="Arial" w:hAnsi="Arial"/>
          <w:sz w:val="18"/>
          <w:szCs w:val="18"/>
          <w:b w:val="1"/>
          <w:bCs w:val="1"/>
          <w:color w:val="auto"/>
        </w:rPr>
        <w:t>(IN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7"/>
          </w:tcPr>
          <w:p>
            <w:pPr>
              <w:jc w:val="center"/>
              <w:ind w:left="699"/>
              <w:spacing w:after="0"/>
              <w:rPr>
                <w:sz w:val="20"/>
                <w:szCs w:val="20"/>
                <w:color w:val="auto"/>
              </w:rPr>
            </w:pPr>
            <w:r>
              <w:rPr>
                <w:rFonts w:ascii="Arial" w:cs="Arial" w:eastAsia="Arial" w:hAnsi="Arial"/>
                <w:sz w:val="16"/>
                <w:szCs w:val="16"/>
                <w:b w:val="1"/>
                <w:bCs w:val="1"/>
                <w:color w:val="auto"/>
              </w:rPr>
              <w:t>First Quarter 2026</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8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jc w:val="center"/>
              <w:spacing w:after="0" w:line="168" w:lineRule="exact"/>
              <w:rPr>
                <w:sz w:val="20"/>
                <w:szCs w:val="20"/>
                <w:color w:val="auto"/>
              </w:rPr>
            </w:pPr>
            <w:r>
              <w:rPr>
                <w:rFonts w:ascii="Arial" w:cs="Arial" w:eastAsia="Arial" w:hAnsi="Arial"/>
                <w:sz w:val="16"/>
                <w:szCs w:val="16"/>
                <w:b w:val="1"/>
                <w:bCs w:val="1"/>
                <w:color w:val="auto"/>
                <w:w w:val="99"/>
              </w:rPr>
              <w:t>Processing</w:t>
            </w:r>
          </w:p>
        </w:tc>
        <w:tc>
          <w:tcPr>
            <w:tcW w:w="180" w:type="dxa"/>
            <w:vAlign w:val="bottom"/>
          </w:tcPr>
          <w:p>
            <w:pPr>
              <w:spacing w:after="0"/>
              <w:rPr>
                <w:sz w:val="14"/>
                <w:szCs w:val="14"/>
                <w:color w:val="auto"/>
              </w:rPr>
            </w:pPr>
          </w:p>
        </w:tc>
        <w:tc>
          <w:tcPr>
            <w:tcW w:w="1180" w:type="dxa"/>
            <w:vAlign w:val="bottom"/>
            <w:gridSpan w:val="4"/>
          </w:tcPr>
          <w:p>
            <w:pPr>
              <w:jc w:val="center"/>
              <w:ind w:right="140"/>
              <w:spacing w:after="0" w:line="168" w:lineRule="exact"/>
              <w:rPr>
                <w:sz w:val="20"/>
                <w:szCs w:val="20"/>
                <w:color w:val="auto"/>
              </w:rPr>
            </w:pPr>
            <w:r>
              <w:rPr>
                <w:rFonts w:ascii="Arial" w:cs="Arial" w:eastAsia="Arial" w:hAnsi="Arial"/>
                <w:sz w:val="16"/>
                <w:szCs w:val="16"/>
                <w:b w:val="1"/>
                <w:bCs w:val="1"/>
                <w:color w:val="auto"/>
              </w:rPr>
              <w:t>Terminaling</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59"/>
              <w:spacing w:after="0"/>
              <w:rPr>
                <w:sz w:val="20"/>
                <w:szCs w:val="20"/>
                <w:color w:val="auto"/>
              </w:rPr>
            </w:pPr>
            <w:r>
              <w:rPr>
                <w:rFonts w:ascii="Arial" w:cs="Arial" w:eastAsia="Arial" w:hAnsi="Arial"/>
                <w:sz w:val="16"/>
                <w:szCs w:val="16"/>
                <w:b w:val="1"/>
                <w:bCs w:val="1"/>
                <w:color w:val="auto"/>
                <w:w w:val="98"/>
              </w:rPr>
              <w:t>and</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8"/>
              </w:rPr>
              <w:t>and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rPr>
              <w:t>Interest</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Statement of operations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7"/>
              </w:rPr>
              <w:t>Gathering</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59"/>
              <w:spacing w:after="0"/>
              <w:rPr>
                <w:sz w:val="20"/>
                <w:szCs w:val="20"/>
                <w:color w:val="auto"/>
              </w:rPr>
            </w:pPr>
            <w:r>
              <w:rPr>
                <w:rFonts w:ascii="Arial" w:cs="Arial" w:eastAsia="Arial" w:hAnsi="Arial"/>
                <w:sz w:val="16"/>
                <w:szCs w:val="16"/>
                <w:b w:val="1"/>
                <w:bCs w:val="1"/>
                <w:color w:val="auto"/>
              </w:rPr>
              <w:t>Storage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rPr>
              <w:t>Export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rPr>
              <w:t>and Other</w:t>
            </w:r>
          </w:p>
        </w:tc>
        <w:tc>
          <w:tcPr>
            <w:tcW w:w="180" w:type="dxa"/>
            <w:vAlign w:val="bottom"/>
          </w:tcPr>
          <w:p>
            <w:pPr>
              <w:spacing w:after="0"/>
              <w:rPr>
                <w:sz w:val="17"/>
                <w:szCs w:val="17"/>
                <w:color w:val="auto"/>
              </w:rPr>
            </w:pPr>
          </w:p>
        </w:tc>
        <w:tc>
          <w:tcPr>
            <w:tcW w:w="82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56"/>
        </w:trPr>
        <w:tc>
          <w:tcPr>
            <w:tcW w:w="446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860" w:type="dxa"/>
            <w:vAlign w:val="bottom"/>
            <w:tcBorders>
              <w:top w:val="single" w:sz="8" w:color="auto"/>
            </w:tcBorders>
          </w:tcPr>
          <w:p>
            <w:pPr>
              <w:ind w:left="60"/>
              <w:spacing w:after="0" w:line="182" w:lineRule="exact"/>
              <w:rPr>
                <w:sz w:val="20"/>
                <w:szCs w:val="20"/>
                <w:color w:val="auto"/>
              </w:rPr>
            </w:pPr>
            <w:r>
              <w:rPr>
                <w:rFonts w:ascii="Arial" w:cs="Arial" w:eastAsia="Arial" w:hAnsi="Arial"/>
                <w:sz w:val="16"/>
                <w:szCs w:val="16"/>
                <w:color w:val="auto"/>
              </w:rPr>
              <w:t>Revenues</w:t>
            </w:r>
          </w:p>
        </w:tc>
        <w:tc>
          <w:tcPr>
            <w:tcW w:w="2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ind w:left="100"/>
              <w:spacing w:after="0"/>
              <w:rPr>
                <w:sz w:val="20"/>
                <w:szCs w:val="20"/>
                <w:color w:val="auto"/>
              </w:rPr>
            </w:pPr>
            <w:r>
              <w:rPr>
                <w:rFonts w:ascii="Arial" w:cs="Arial" w:eastAsia="Arial" w:hAnsi="Arial"/>
                <w:sz w:val="16"/>
                <w:szCs w:val="16"/>
                <w:color w:val="auto"/>
              </w:rPr>
              <w:t>Affiliate services</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197.9</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139.1</w:t>
            </w:r>
          </w:p>
        </w:tc>
        <w:tc>
          <w:tcPr>
            <w:tcW w:w="34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36.1</w:t>
            </w:r>
          </w:p>
        </w:tc>
        <w:tc>
          <w:tcPr>
            <w:tcW w:w="14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80" w:type="dxa"/>
            <w:vAlign w:val="bottom"/>
          </w:tcPr>
          <w:p>
            <w:pPr>
              <w:jc w:val="right"/>
              <w:ind w:right="3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373.1</w:t>
            </w:r>
          </w:p>
        </w:tc>
        <w:tc>
          <w:tcPr>
            <w:tcW w:w="0" w:type="dxa"/>
            <w:vAlign w:val="bottom"/>
          </w:tcPr>
          <w:p>
            <w:pPr>
              <w:spacing w:after="0"/>
              <w:rPr>
                <w:sz w:val="1"/>
                <w:szCs w:val="1"/>
                <w:color w:val="auto"/>
              </w:rPr>
            </w:pPr>
          </w:p>
        </w:tc>
      </w:tr>
      <w:tr>
        <w:trPr>
          <w:trHeight w:val="189"/>
        </w:trPr>
        <w:tc>
          <w:tcPr>
            <w:tcW w:w="4460" w:type="dxa"/>
            <w:vAlign w:val="bottom"/>
            <w:gridSpan w:val="2"/>
          </w:tcPr>
          <w:p>
            <w:pPr>
              <w:ind w:left="100"/>
              <w:spacing w:after="0"/>
              <w:rPr>
                <w:sz w:val="20"/>
                <w:szCs w:val="20"/>
                <w:color w:val="auto"/>
              </w:rPr>
            </w:pPr>
            <w:r>
              <w:rPr>
                <w:rFonts w:ascii="Arial" w:cs="Arial" w:eastAsia="Arial" w:hAnsi="Arial"/>
                <w:sz w:val="16"/>
                <w:szCs w:val="16"/>
                <w:color w:val="auto"/>
              </w:rPr>
              <w:t>Third-party services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03"/>
        </w:trPr>
        <w:tc>
          <w:tcPr>
            <w:tcW w:w="4460" w:type="dxa"/>
            <w:vAlign w:val="bottom"/>
            <w:gridSpan w:val="2"/>
          </w:tcPr>
          <w:p>
            <w:pPr>
              <w:ind w:left="100"/>
              <w:spacing w:after="0"/>
              <w:rPr>
                <w:sz w:val="20"/>
                <w:szCs w:val="20"/>
                <w:color w:val="auto"/>
              </w:rPr>
            </w:pPr>
            <w:r>
              <w:rPr>
                <w:rFonts w:ascii="Arial" w:cs="Arial" w:eastAsia="Arial" w:hAnsi="Arial"/>
                <w:sz w:val="16"/>
                <w:szCs w:val="16"/>
                <w:color w:val="auto"/>
              </w:rPr>
              <w:t>Other income</w:t>
            </w:r>
          </w:p>
        </w:tc>
        <w:tc>
          <w:tcPr>
            <w:tcW w:w="6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2"/>
        </w:trPr>
        <w:tc>
          <w:tcPr>
            <w:tcW w:w="4460" w:type="dxa"/>
            <w:vAlign w:val="bottom"/>
            <w:gridSpan w:val="2"/>
          </w:tcPr>
          <w:p>
            <w:pPr>
              <w:ind w:left="140"/>
              <w:spacing w:after="0" w:line="183" w:lineRule="exact"/>
              <w:rPr>
                <w:sz w:val="20"/>
                <w:szCs w:val="20"/>
                <w:color w:val="auto"/>
              </w:rPr>
            </w:pPr>
            <w:r>
              <w:rPr>
                <w:rFonts w:ascii="Arial" w:cs="Arial" w:eastAsia="Arial" w:hAnsi="Arial"/>
                <w:sz w:val="16"/>
                <w:szCs w:val="16"/>
                <w:color w:val="auto"/>
              </w:rPr>
              <w:t>Total revenues</w:t>
            </w:r>
          </w:p>
        </w:tc>
        <w:tc>
          <w:tcPr>
            <w:tcW w:w="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204.1</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148.4</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37.6</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color w:val="auto"/>
              </w:rPr>
              <w:t>390.1</w:t>
            </w:r>
          </w:p>
        </w:tc>
        <w:tc>
          <w:tcPr>
            <w:tcW w:w="0" w:type="dxa"/>
            <w:vAlign w:val="bottom"/>
          </w:tcPr>
          <w:p>
            <w:pPr>
              <w:spacing w:after="0"/>
              <w:rPr>
                <w:sz w:val="1"/>
                <w:szCs w:val="1"/>
                <w:color w:val="auto"/>
              </w:rPr>
            </w:pPr>
          </w:p>
        </w:tc>
      </w:tr>
      <w:tr>
        <w:trPr>
          <w:trHeight w:val="168"/>
        </w:trPr>
        <w:tc>
          <w:tcPr>
            <w:tcW w:w="4460" w:type="dxa"/>
            <w:vAlign w:val="bottom"/>
            <w:gridSpan w:val="2"/>
          </w:tcPr>
          <w:p>
            <w:pPr>
              <w:ind w:left="60"/>
              <w:spacing w:after="0" w:line="168" w:lineRule="exact"/>
              <w:rPr>
                <w:sz w:val="20"/>
                <w:szCs w:val="20"/>
                <w:color w:val="auto"/>
              </w:rPr>
            </w:pPr>
            <w:r>
              <w:rPr>
                <w:rFonts w:ascii="Arial" w:cs="Arial" w:eastAsia="Arial" w:hAnsi="Arial"/>
                <w:sz w:val="16"/>
                <w:szCs w:val="16"/>
                <w:color w:val="auto"/>
              </w:rPr>
              <w:t>Costs and expenses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ind w:left="100"/>
              <w:spacing w:after="0"/>
              <w:rPr>
                <w:sz w:val="20"/>
                <w:szCs w:val="20"/>
                <w:color w:val="auto"/>
              </w:rPr>
            </w:pPr>
            <w:r>
              <w:rPr>
                <w:rFonts w:ascii="Arial" w:cs="Arial" w:eastAsia="Arial" w:hAnsi="Arial"/>
                <w:sz w:val="16"/>
                <w:szCs w:val="16"/>
                <w:color w:val="auto"/>
              </w:rPr>
              <w:t>Operating and maintenance expenses (exclusive of</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ind w:left="240"/>
              <w:spacing w:after="0"/>
              <w:rPr>
                <w:sz w:val="20"/>
                <w:szCs w:val="20"/>
                <w:color w:val="auto"/>
              </w:rPr>
            </w:pPr>
            <w:r>
              <w:rPr>
                <w:rFonts w:ascii="Arial" w:cs="Arial" w:eastAsia="Arial" w:hAnsi="Arial"/>
                <w:sz w:val="16"/>
                <w:szCs w:val="16"/>
                <w:color w:val="auto"/>
              </w:rPr>
              <w:t>depreciation shown separately below)</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49.7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29.3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6.6</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189"/>
        </w:trPr>
        <w:tc>
          <w:tcPr>
            <w:tcW w:w="4460" w:type="dxa"/>
            <w:vAlign w:val="bottom"/>
            <w:gridSpan w:val="2"/>
          </w:tcPr>
          <w:p>
            <w:pPr>
              <w:ind w:left="100"/>
              <w:spacing w:after="0"/>
              <w:rPr>
                <w:sz w:val="20"/>
                <w:szCs w:val="20"/>
                <w:color w:val="auto"/>
              </w:rPr>
            </w:pPr>
            <w:r>
              <w:rPr>
                <w:rFonts w:ascii="Arial" w:cs="Arial" w:eastAsia="Arial" w:hAnsi="Arial"/>
                <w:sz w:val="16"/>
                <w:szCs w:val="16"/>
                <w:color w:val="auto"/>
              </w:rPr>
              <w:t>Depreciation expense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37.7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16.4</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4.4</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03"/>
        </w:trPr>
        <w:tc>
          <w:tcPr>
            <w:tcW w:w="4460" w:type="dxa"/>
            <w:vAlign w:val="bottom"/>
            <w:gridSpan w:val="2"/>
          </w:tcPr>
          <w:p>
            <w:pPr>
              <w:ind w:left="100"/>
              <w:spacing w:after="0"/>
              <w:rPr>
                <w:sz w:val="20"/>
                <w:szCs w:val="20"/>
                <w:color w:val="auto"/>
              </w:rPr>
            </w:pPr>
            <w:r>
              <w:rPr>
                <w:rFonts w:ascii="Arial" w:cs="Arial" w:eastAsia="Arial" w:hAnsi="Arial"/>
                <w:sz w:val="16"/>
                <w:szCs w:val="16"/>
                <w:color w:val="auto"/>
              </w:rPr>
              <w:t>General and administrative expenses</w:t>
            </w:r>
          </w:p>
        </w:tc>
        <w:tc>
          <w:tcPr>
            <w:tcW w:w="6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4.1</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1.4</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0.3</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83"/>
        </w:trPr>
        <w:tc>
          <w:tcPr>
            <w:tcW w:w="4460" w:type="dxa"/>
            <w:vAlign w:val="bottom"/>
            <w:gridSpan w:val="2"/>
          </w:tcPr>
          <w:p>
            <w:pPr>
              <w:ind w:left="140"/>
              <w:spacing w:after="0" w:line="183" w:lineRule="exact"/>
              <w:rPr>
                <w:sz w:val="20"/>
                <w:szCs w:val="20"/>
                <w:color w:val="auto"/>
              </w:rPr>
            </w:pPr>
            <w:r>
              <w:rPr>
                <w:rFonts w:ascii="Arial" w:cs="Arial" w:eastAsia="Arial" w:hAnsi="Arial"/>
                <w:sz w:val="16"/>
                <w:szCs w:val="16"/>
                <w:color w:val="auto"/>
              </w:rPr>
              <w:t>Total operating costs and expenses</w:t>
            </w:r>
          </w:p>
        </w:tc>
        <w:tc>
          <w:tcPr>
            <w:tcW w:w="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91.5</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47.1</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11.3</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color w:val="auto"/>
              </w:rPr>
              <w:t>2.1</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color w:val="auto"/>
              </w:rPr>
              <w:t>152.0</w:t>
            </w:r>
          </w:p>
        </w:tc>
        <w:tc>
          <w:tcPr>
            <w:tcW w:w="0" w:type="dxa"/>
            <w:vAlign w:val="bottom"/>
          </w:tcPr>
          <w:p>
            <w:pPr>
              <w:spacing w:after="0"/>
              <w:rPr>
                <w:sz w:val="1"/>
                <w:szCs w:val="1"/>
                <w:color w:val="auto"/>
              </w:rPr>
            </w:pPr>
          </w:p>
        </w:tc>
      </w:tr>
      <w:tr>
        <w:trPr>
          <w:trHeight w:val="168"/>
        </w:trPr>
        <w:tc>
          <w:tcPr>
            <w:tcW w:w="4460" w:type="dxa"/>
            <w:vAlign w:val="bottom"/>
            <w:gridSpan w:val="2"/>
          </w:tcPr>
          <w:p>
            <w:pPr>
              <w:ind w:left="60"/>
              <w:spacing w:after="0" w:line="168" w:lineRule="exact"/>
              <w:rPr>
                <w:sz w:val="20"/>
                <w:szCs w:val="20"/>
                <w:color w:val="auto"/>
              </w:rPr>
            </w:pPr>
            <w:r>
              <w:rPr>
                <w:rFonts w:ascii="Arial" w:cs="Arial" w:eastAsia="Arial" w:hAnsi="Arial"/>
                <w:sz w:val="16"/>
                <w:szCs w:val="16"/>
                <w:color w:val="auto"/>
              </w:rPr>
              <w:t>Income (loss) from operations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Arial" w:cs="Arial" w:eastAsia="Arial" w:hAnsi="Arial"/>
                <w:sz w:val="16"/>
                <w:szCs w:val="16"/>
                <w:color w:val="auto"/>
              </w:rPr>
              <w:t>112.6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spacing w:after="0" w:line="168" w:lineRule="exact"/>
              <w:rPr>
                <w:sz w:val="20"/>
                <w:szCs w:val="20"/>
                <w:color w:val="auto"/>
              </w:rPr>
            </w:pPr>
            <w:r>
              <w:rPr>
                <w:rFonts w:ascii="Arial" w:cs="Arial" w:eastAsia="Arial" w:hAnsi="Arial"/>
                <w:sz w:val="16"/>
                <w:szCs w:val="16"/>
                <w:color w:val="auto"/>
              </w:rPr>
              <w:t>101.3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Arial" w:cs="Arial" w:eastAsia="Arial" w:hAnsi="Arial"/>
                <w:sz w:val="16"/>
                <w:szCs w:val="16"/>
                <w:color w:val="auto"/>
              </w:rPr>
              <w:t>26.3</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120"/>
              <w:spacing w:after="0" w:line="168" w:lineRule="exact"/>
              <w:rPr>
                <w:sz w:val="20"/>
                <w:szCs w:val="20"/>
                <w:color w:val="auto"/>
              </w:rPr>
            </w:pPr>
            <w:r>
              <w:rPr>
                <w:rFonts w:ascii="Arial" w:cs="Arial" w:eastAsia="Arial" w:hAnsi="Arial"/>
                <w:sz w:val="16"/>
                <w:szCs w:val="16"/>
                <w:color w:val="auto"/>
              </w:rPr>
              <w:t>(2.1)</w:t>
            </w:r>
          </w:p>
        </w:tc>
        <w:tc>
          <w:tcPr>
            <w:tcW w:w="180" w:type="dxa"/>
            <w:vAlign w:val="bottom"/>
          </w:tcPr>
          <w:p>
            <w:pPr>
              <w:spacing w:after="0"/>
              <w:rPr>
                <w:sz w:val="14"/>
                <w:szCs w:val="14"/>
                <w:color w:val="auto"/>
              </w:rPr>
            </w:pPr>
          </w:p>
        </w:tc>
        <w:tc>
          <w:tcPr>
            <w:tcW w:w="820" w:type="dxa"/>
            <w:vAlign w:val="bottom"/>
            <w:gridSpan w:val="2"/>
          </w:tcPr>
          <w:p>
            <w:pPr>
              <w:jc w:val="right"/>
              <w:ind w:right="20"/>
              <w:spacing w:after="0" w:line="168" w:lineRule="exact"/>
              <w:rPr>
                <w:sz w:val="20"/>
                <w:szCs w:val="20"/>
                <w:color w:val="auto"/>
              </w:rPr>
            </w:pPr>
            <w:r>
              <w:rPr>
                <w:rFonts w:ascii="Arial" w:cs="Arial" w:eastAsia="Arial" w:hAnsi="Arial"/>
                <w:sz w:val="16"/>
                <w:szCs w:val="16"/>
                <w:color w:val="auto"/>
              </w:rPr>
              <w:t>238.1</w:t>
            </w:r>
          </w:p>
        </w:tc>
        <w:tc>
          <w:tcPr>
            <w:tcW w:w="0" w:type="dxa"/>
            <w:vAlign w:val="bottom"/>
          </w:tcPr>
          <w:p>
            <w:pPr>
              <w:spacing w:after="0"/>
              <w:rPr>
                <w:sz w:val="1"/>
                <w:szCs w:val="1"/>
                <w:color w:val="auto"/>
              </w:rPr>
            </w:pPr>
          </w:p>
        </w:tc>
      </w:tr>
      <w:tr>
        <w:trPr>
          <w:trHeight w:val="189"/>
        </w:trPr>
        <w:tc>
          <w:tcPr>
            <w:tcW w:w="4460" w:type="dxa"/>
            <w:vAlign w:val="bottom"/>
            <w:gridSpan w:val="2"/>
          </w:tcPr>
          <w:p>
            <w:pPr>
              <w:ind w:left="100"/>
              <w:spacing w:after="0"/>
              <w:rPr>
                <w:sz w:val="20"/>
                <w:szCs w:val="20"/>
                <w:color w:val="auto"/>
              </w:rPr>
            </w:pPr>
            <w:r>
              <w:rPr>
                <w:rFonts w:ascii="Arial" w:cs="Arial" w:eastAsia="Arial" w:hAnsi="Arial"/>
                <w:sz w:val="16"/>
                <w:szCs w:val="16"/>
                <w:color w:val="auto"/>
              </w:rPr>
              <w:t>Income from equity investments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3"/>
        </w:trPr>
        <w:tc>
          <w:tcPr>
            <w:tcW w:w="4460" w:type="dxa"/>
            <w:vAlign w:val="bottom"/>
            <w:gridSpan w:val="2"/>
          </w:tcPr>
          <w:p>
            <w:pPr>
              <w:ind w:left="100"/>
              <w:spacing w:after="0"/>
              <w:rPr>
                <w:sz w:val="20"/>
                <w:szCs w:val="20"/>
                <w:color w:val="auto"/>
              </w:rPr>
            </w:pPr>
            <w:r>
              <w:rPr>
                <w:rFonts w:ascii="Arial" w:cs="Arial" w:eastAsia="Arial" w:hAnsi="Arial"/>
                <w:sz w:val="16"/>
                <w:szCs w:val="16"/>
                <w:color w:val="auto"/>
              </w:rPr>
              <w:t>Interest expense, net</w:t>
            </w:r>
          </w:p>
        </w:tc>
        <w:tc>
          <w:tcPr>
            <w:tcW w:w="6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55.4</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168"/>
        </w:trPr>
        <w:tc>
          <w:tcPr>
            <w:tcW w:w="4460" w:type="dxa"/>
            <w:vAlign w:val="bottom"/>
            <w:gridSpan w:val="2"/>
          </w:tcPr>
          <w:p>
            <w:pPr>
              <w:ind w:left="60"/>
              <w:spacing w:after="0" w:line="168" w:lineRule="exact"/>
              <w:rPr>
                <w:sz w:val="20"/>
                <w:szCs w:val="20"/>
                <w:color w:val="auto"/>
              </w:rPr>
            </w:pPr>
            <w:r>
              <w:rPr>
                <w:rFonts w:ascii="Arial" w:cs="Arial" w:eastAsia="Arial" w:hAnsi="Arial"/>
                <w:sz w:val="16"/>
                <w:szCs w:val="16"/>
                <w:color w:val="auto"/>
              </w:rPr>
              <w:t>Income before income tax expense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Arial" w:cs="Arial" w:eastAsia="Arial" w:hAnsi="Arial"/>
                <w:sz w:val="16"/>
                <w:szCs w:val="16"/>
                <w:color w:val="auto"/>
              </w:rPr>
              <w:t>112.6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spacing w:after="0" w:line="168" w:lineRule="exact"/>
              <w:rPr>
                <w:sz w:val="20"/>
                <w:szCs w:val="20"/>
                <w:color w:val="auto"/>
              </w:rPr>
            </w:pPr>
            <w:r>
              <w:rPr>
                <w:rFonts w:ascii="Arial" w:cs="Arial" w:eastAsia="Arial" w:hAnsi="Arial"/>
                <w:sz w:val="16"/>
                <w:szCs w:val="16"/>
                <w:color w:val="auto"/>
              </w:rPr>
              <w:t>104.5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Arial" w:cs="Arial" w:eastAsia="Arial" w:hAnsi="Arial"/>
                <w:sz w:val="16"/>
                <w:szCs w:val="16"/>
                <w:color w:val="auto"/>
              </w:rPr>
              <w:t>26.3</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120"/>
              <w:spacing w:after="0" w:line="168" w:lineRule="exact"/>
              <w:rPr>
                <w:sz w:val="20"/>
                <w:szCs w:val="20"/>
                <w:color w:val="auto"/>
              </w:rPr>
            </w:pPr>
            <w:r>
              <w:rPr>
                <w:rFonts w:ascii="Arial" w:cs="Arial" w:eastAsia="Arial" w:hAnsi="Arial"/>
                <w:sz w:val="16"/>
                <w:szCs w:val="16"/>
                <w:color w:val="auto"/>
              </w:rPr>
              <w:t>(57.5)</w:t>
            </w:r>
          </w:p>
        </w:tc>
        <w:tc>
          <w:tcPr>
            <w:tcW w:w="180" w:type="dxa"/>
            <w:vAlign w:val="bottom"/>
          </w:tcPr>
          <w:p>
            <w:pPr>
              <w:spacing w:after="0"/>
              <w:rPr>
                <w:sz w:val="14"/>
                <w:szCs w:val="14"/>
                <w:color w:val="auto"/>
              </w:rPr>
            </w:pPr>
          </w:p>
        </w:tc>
        <w:tc>
          <w:tcPr>
            <w:tcW w:w="820" w:type="dxa"/>
            <w:vAlign w:val="bottom"/>
            <w:gridSpan w:val="2"/>
          </w:tcPr>
          <w:p>
            <w:pPr>
              <w:jc w:val="right"/>
              <w:ind w:right="20"/>
              <w:spacing w:after="0" w:line="168" w:lineRule="exact"/>
              <w:rPr>
                <w:sz w:val="20"/>
                <w:szCs w:val="20"/>
                <w:color w:val="auto"/>
              </w:rPr>
            </w:pPr>
            <w:r>
              <w:rPr>
                <w:rFonts w:ascii="Arial" w:cs="Arial" w:eastAsia="Arial" w:hAnsi="Arial"/>
                <w:sz w:val="16"/>
                <w:szCs w:val="16"/>
                <w:color w:val="auto"/>
              </w:rPr>
              <w:t>185.9</w:t>
            </w:r>
          </w:p>
        </w:tc>
        <w:tc>
          <w:tcPr>
            <w:tcW w:w="0" w:type="dxa"/>
            <w:vAlign w:val="bottom"/>
          </w:tcPr>
          <w:p>
            <w:pPr>
              <w:spacing w:after="0"/>
              <w:rPr>
                <w:sz w:val="1"/>
                <w:szCs w:val="1"/>
                <w:color w:val="auto"/>
              </w:rPr>
            </w:pPr>
          </w:p>
        </w:tc>
      </w:tr>
      <w:tr>
        <w:trPr>
          <w:trHeight w:val="203"/>
        </w:trPr>
        <w:tc>
          <w:tcPr>
            <w:tcW w:w="4460" w:type="dxa"/>
            <w:vAlign w:val="bottom"/>
            <w:gridSpan w:val="2"/>
          </w:tcPr>
          <w:p>
            <w:pPr>
              <w:ind w:left="100"/>
              <w:spacing w:after="0"/>
              <w:rPr>
                <w:sz w:val="20"/>
                <w:szCs w:val="20"/>
                <w:color w:val="auto"/>
              </w:rPr>
            </w:pPr>
            <w:r>
              <w:rPr>
                <w:rFonts w:ascii="Arial" w:cs="Arial" w:eastAsia="Arial" w:hAnsi="Arial"/>
                <w:sz w:val="16"/>
                <w:szCs w:val="16"/>
                <w:color w:val="auto"/>
              </w:rPr>
              <w:t>Income tax expense</w:t>
            </w:r>
          </w:p>
        </w:tc>
        <w:tc>
          <w:tcPr>
            <w:tcW w:w="6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28.2</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168"/>
        </w:trPr>
        <w:tc>
          <w:tcPr>
            <w:tcW w:w="4460" w:type="dxa"/>
            <w:vAlign w:val="bottom"/>
            <w:gridSpan w:val="2"/>
          </w:tcPr>
          <w:p>
            <w:pPr>
              <w:ind w:left="60"/>
              <w:spacing w:after="0" w:line="168" w:lineRule="exact"/>
              <w:rPr>
                <w:sz w:val="20"/>
                <w:szCs w:val="20"/>
                <w:color w:val="auto"/>
              </w:rPr>
            </w:pPr>
            <w:r>
              <w:rPr>
                <w:rFonts w:ascii="Arial" w:cs="Arial" w:eastAsia="Arial" w:hAnsi="Arial"/>
                <w:sz w:val="16"/>
                <w:szCs w:val="16"/>
                <w:color w:val="auto"/>
              </w:rPr>
              <w:t>Net income (loss)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Arial" w:cs="Arial" w:eastAsia="Arial" w:hAnsi="Arial"/>
                <w:sz w:val="16"/>
                <w:szCs w:val="16"/>
                <w:color w:val="auto"/>
              </w:rPr>
              <w:t>112.6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spacing w:after="0" w:line="168" w:lineRule="exact"/>
              <w:rPr>
                <w:sz w:val="20"/>
                <w:szCs w:val="20"/>
                <w:color w:val="auto"/>
              </w:rPr>
            </w:pPr>
            <w:r>
              <w:rPr>
                <w:rFonts w:ascii="Arial" w:cs="Arial" w:eastAsia="Arial" w:hAnsi="Arial"/>
                <w:sz w:val="16"/>
                <w:szCs w:val="16"/>
                <w:color w:val="auto"/>
              </w:rPr>
              <w:t>104.5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Arial" w:cs="Arial" w:eastAsia="Arial" w:hAnsi="Arial"/>
                <w:sz w:val="16"/>
                <w:szCs w:val="16"/>
                <w:color w:val="auto"/>
              </w:rPr>
              <w:t>26.3</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120"/>
              <w:spacing w:after="0" w:line="168" w:lineRule="exact"/>
              <w:rPr>
                <w:sz w:val="20"/>
                <w:szCs w:val="20"/>
                <w:color w:val="auto"/>
              </w:rPr>
            </w:pPr>
            <w:r>
              <w:rPr>
                <w:rFonts w:ascii="Arial" w:cs="Arial" w:eastAsia="Arial" w:hAnsi="Arial"/>
                <w:sz w:val="16"/>
                <w:szCs w:val="16"/>
                <w:color w:val="auto"/>
              </w:rPr>
              <w:t>(85.7)</w:t>
            </w:r>
          </w:p>
        </w:tc>
        <w:tc>
          <w:tcPr>
            <w:tcW w:w="180" w:type="dxa"/>
            <w:vAlign w:val="bottom"/>
          </w:tcPr>
          <w:p>
            <w:pPr>
              <w:spacing w:after="0"/>
              <w:rPr>
                <w:sz w:val="14"/>
                <w:szCs w:val="14"/>
                <w:color w:val="auto"/>
              </w:rPr>
            </w:pPr>
          </w:p>
        </w:tc>
        <w:tc>
          <w:tcPr>
            <w:tcW w:w="820" w:type="dxa"/>
            <w:vAlign w:val="bottom"/>
            <w:gridSpan w:val="2"/>
          </w:tcPr>
          <w:p>
            <w:pPr>
              <w:jc w:val="right"/>
              <w:ind w:right="20"/>
              <w:spacing w:after="0" w:line="168" w:lineRule="exact"/>
              <w:rPr>
                <w:sz w:val="20"/>
                <w:szCs w:val="20"/>
                <w:color w:val="auto"/>
              </w:rPr>
            </w:pPr>
            <w:r>
              <w:rPr>
                <w:rFonts w:ascii="Arial" w:cs="Arial" w:eastAsia="Arial" w:hAnsi="Arial"/>
                <w:sz w:val="16"/>
                <w:szCs w:val="16"/>
                <w:color w:val="auto"/>
              </w:rPr>
              <w:t>157.7</w:t>
            </w:r>
          </w:p>
        </w:tc>
        <w:tc>
          <w:tcPr>
            <w:tcW w:w="0" w:type="dxa"/>
            <w:vAlign w:val="bottom"/>
          </w:tcPr>
          <w:p>
            <w:pPr>
              <w:spacing w:after="0"/>
              <w:rPr>
                <w:sz w:val="1"/>
                <w:szCs w:val="1"/>
                <w:color w:val="auto"/>
              </w:rPr>
            </w:pPr>
          </w:p>
        </w:tc>
      </w:tr>
      <w:tr>
        <w:trPr>
          <w:trHeight w:val="189"/>
        </w:trPr>
        <w:tc>
          <w:tcPr>
            <w:tcW w:w="4460" w:type="dxa"/>
            <w:vAlign w:val="bottom"/>
            <w:gridSpan w:val="2"/>
          </w:tcPr>
          <w:p>
            <w:pPr>
              <w:ind w:left="100"/>
              <w:spacing w:after="0"/>
              <w:rPr>
                <w:sz w:val="20"/>
                <w:szCs w:val="20"/>
                <w:color w:val="auto"/>
              </w:rPr>
            </w:pPr>
            <w:r>
              <w:rPr>
                <w:rFonts w:ascii="Arial" w:cs="Arial" w:eastAsia="Arial" w:hAnsi="Arial"/>
                <w:sz w:val="16"/>
                <w:szCs w:val="16"/>
                <w:color w:val="auto"/>
              </w:rPr>
              <w:t>Less: Net income (loss) attributable to</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6"/>
                <w:szCs w:val="16"/>
                <w:color w:val="auto"/>
              </w:rPr>
              <w:t>42.4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color w:val="auto"/>
              </w:rPr>
              <w:t>39.4</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9.9</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rPr>
              <w:t>(21.6)</w:t>
            </w:r>
          </w:p>
        </w:tc>
        <w:tc>
          <w:tcPr>
            <w:tcW w:w="180" w:type="dxa"/>
            <w:vAlign w:val="bottom"/>
          </w:tcPr>
          <w:p>
            <w:pPr>
              <w:spacing w:after="0"/>
              <w:rPr>
                <w:sz w:val="16"/>
                <w:szCs w:val="16"/>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190"/>
        </w:trPr>
        <w:tc>
          <w:tcPr>
            <w:tcW w:w="4460" w:type="dxa"/>
            <w:vAlign w:val="bottom"/>
            <w:gridSpan w:val="2"/>
          </w:tcPr>
          <w:p>
            <w:pPr>
              <w:ind w:left="240"/>
              <w:spacing w:after="0"/>
              <w:rPr>
                <w:sz w:val="20"/>
                <w:szCs w:val="20"/>
                <w:color w:val="auto"/>
              </w:rPr>
            </w:pPr>
            <w:r>
              <w:rPr>
                <w:rFonts w:ascii="Arial" w:cs="Arial" w:eastAsia="Arial" w:hAnsi="Arial"/>
                <w:sz w:val="16"/>
                <w:szCs w:val="16"/>
                <w:color w:val="auto"/>
              </w:rPr>
              <w:t>noncontrolling interest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ind w:left="100"/>
              <w:spacing w:after="0"/>
              <w:rPr>
                <w:sz w:val="20"/>
                <w:szCs w:val="20"/>
                <w:color w:val="auto"/>
              </w:rPr>
            </w:pPr>
            <w:r>
              <w:rPr>
                <w:rFonts w:ascii="Arial" w:cs="Arial" w:eastAsia="Arial" w:hAnsi="Arial"/>
                <w:sz w:val="16"/>
                <w:szCs w:val="16"/>
                <w:color w:val="auto"/>
              </w:rPr>
              <w:t>Net income (loss) attributable to</w:t>
            </w: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460" w:type="dxa"/>
            <w:vAlign w:val="bottom"/>
            <w:gridSpan w:val="2"/>
            <w:vMerge w:val="continue"/>
          </w:tcPr>
          <w:p>
            <w:pPr>
              <w:spacing w:after="0"/>
              <w:rPr>
                <w:sz w:val="14"/>
                <w:szCs w:val="14"/>
                <w:color w:val="auto"/>
              </w:rPr>
            </w:pPr>
          </w:p>
        </w:tc>
        <w:tc>
          <w:tcPr>
            <w:tcW w:w="660" w:type="dxa"/>
            <w:vAlign w:val="bottom"/>
            <w:vMerge w:val="restart"/>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4"/>
                <w:szCs w:val="14"/>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6"/>
                <w:szCs w:val="16"/>
                <w:color w:val="auto"/>
              </w:rPr>
              <w:t>70.2</w:t>
            </w:r>
          </w:p>
        </w:tc>
        <w:tc>
          <w:tcPr>
            <w:tcW w:w="180" w:type="dxa"/>
            <w:vAlign w:val="bottom"/>
            <w:vMerge w:val="restart"/>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color w:val="auto"/>
              </w:rPr>
              <w:t>65.1</w:t>
            </w:r>
          </w:p>
        </w:tc>
        <w:tc>
          <w:tcPr>
            <w:tcW w:w="340" w:type="dxa"/>
            <w:vAlign w:val="bottom"/>
            <w:gridSpan w:val="2"/>
            <w:vMerge w:val="restart"/>
          </w:tcPr>
          <w:p>
            <w:pPr>
              <w:ind w:left="18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16.4</w:t>
            </w:r>
          </w:p>
        </w:tc>
        <w:tc>
          <w:tcPr>
            <w:tcW w:w="140" w:type="dxa"/>
            <w:vAlign w:val="bottom"/>
          </w:tcPr>
          <w:p>
            <w:pPr>
              <w:spacing w:after="0"/>
              <w:rPr>
                <w:sz w:val="14"/>
                <w:szCs w:val="14"/>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rPr>
              <w:t>(64.1)</w:t>
            </w:r>
          </w:p>
        </w:tc>
        <w:tc>
          <w:tcPr>
            <w:tcW w:w="180" w:type="dxa"/>
            <w:vAlign w:val="bottom"/>
            <w:vMerge w:val="restart"/>
          </w:tcPr>
          <w:p>
            <w:pPr>
              <w:jc w:val="right"/>
              <w:ind w:right="37"/>
              <w:spacing w:after="0"/>
              <w:rPr>
                <w:sz w:val="20"/>
                <w:szCs w:val="20"/>
                <w:color w:val="auto"/>
              </w:rPr>
            </w:pPr>
            <w:r>
              <w:rPr>
                <w:rFonts w:ascii="Arial" w:cs="Arial" w:eastAsia="Arial" w:hAnsi="Arial"/>
                <w:sz w:val="15"/>
                <w:szCs w:val="15"/>
                <w:color w:val="auto"/>
                <w:w w:val="71"/>
              </w:rPr>
              <w:t>$</w:t>
            </w: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163"/>
        </w:trPr>
        <w:tc>
          <w:tcPr>
            <w:tcW w:w="4460" w:type="dxa"/>
            <w:vAlign w:val="bottom"/>
            <w:gridSpan w:val="2"/>
          </w:tcPr>
          <w:p>
            <w:pPr>
              <w:ind w:left="240"/>
              <w:spacing w:after="0" w:line="143" w:lineRule="exact"/>
              <w:rPr>
                <w:sz w:val="20"/>
                <w:szCs w:val="20"/>
                <w:color w:val="auto"/>
              </w:rPr>
            </w:pPr>
            <w:r>
              <w:rPr>
                <w:rFonts w:ascii="Arial" w:cs="Arial" w:eastAsia="Arial" w:hAnsi="Arial"/>
                <w:sz w:val="16"/>
                <w:szCs w:val="16"/>
                <w:color w:val="auto"/>
              </w:rPr>
              <w:t>Hess Midstream LP</w:t>
            </w:r>
          </w:p>
        </w:tc>
        <w:tc>
          <w:tcPr>
            <w:tcW w:w="6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8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First Quarter 2025</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8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jc w:val="center"/>
              <w:spacing w:after="0" w:line="168" w:lineRule="exact"/>
              <w:rPr>
                <w:sz w:val="20"/>
                <w:szCs w:val="20"/>
                <w:color w:val="auto"/>
              </w:rPr>
            </w:pPr>
            <w:r>
              <w:rPr>
                <w:rFonts w:ascii="Arial" w:cs="Arial" w:eastAsia="Arial" w:hAnsi="Arial"/>
                <w:sz w:val="16"/>
                <w:szCs w:val="16"/>
                <w:b w:val="1"/>
                <w:bCs w:val="1"/>
                <w:color w:val="auto"/>
              </w:rPr>
              <w:t>Processing</w:t>
            </w:r>
          </w:p>
        </w:tc>
        <w:tc>
          <w:tcPr>
            <w:tcW w:w="180" w:type="dxa"/>
            <w:vAlign w:val="bottom"/>
          </w:tcPr>
          <w:p>
            <w:pPr>
              <w:spacing w:after="0"/>
              <w:rPr>
                <w:sz w:val="14"/>
                <w:szCs w:val="14"/>
                <w:color w:val="auto"/>
              </w:rPr>
            </w:pPr>
          </w:p>
        </w:tc>
        <w:tc>
          <w:tcPr>
            <w:tcW w:w="1180" w:type="dxa"/>
            <w:vAlign w:val="bottom"/>
            <w:gridSpan w:val="4"/>
          </w:tcPr>
          <w:p>
            <w:pPr>
              <w:spacing w:after="0" w:line="168" w:lineRule="exact"/>
              <w:rPr>
                <w:sz w:val="20"/>
                <w:szCs w:val="20"/>
                <w:color w:val="auto"/>
              </w:rPr>
            </w:pPr>
            <w:r>
              <w:rPr>
                <w:rFonts w:ascii="Arial" w:cs="Arial" w:eastAsia="Arial" w:hAnsi="Arial"/>
                <w:sz w:val="16"/>
                <w:szCs w:val="16"/>
                <w:b w:val="1"/>
                <w:bCs w:val="1"/>
                <w:color w:val="auto"/>
              </w:rPr>
              <w:t>Terminaling</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auto"/>
              </w:rPr>
              <w:t>and</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rPr>
              <w:t>and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Interest</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Statement of operations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Gathering</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rPr>
              <w:t>Storage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rPr>
              <w:t>Export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rPr>
              <w:t>and Other</w:t>
            </w:r>
          </w:p>
        </w:tc>
        <w:tc>
          <w:tcPr>
            <w:tcW w:w="180" w:type="dxa"/>
            <w:vAlign w:val="bottom"/>
          </w:tcPr>
          <w:p>
            <w:pPr>
              <w:spacing w:after="0"/>
              <w:rPr>
                <w:sz w:val="17"/>
                <w:szCs w:val="17"/>
                <w:color w:val="auto"/>
              </w:rPr>
            </w:pPr>
          </w:p>
        </w:tc>
        <w:tc>
          <w:tcPr>
            <w:tcW w:w="82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55"/>
        </w:trPr>
        <w:tc>
          <w:tcPr>
            <w:tcW w:w="446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860" w:type="dxa"/>
            <w:vAlign w:val="bottom"/>
            <w:tcBorders>
              <w:top w:val="single" w:sz="8" w:color="auto"/>
            </w:tcBorders>
          </w:tcPr>
          <w:p>
            <w:pPr>
              <w:ind w:left="60"/>
              <w:spacing w:after="0" w:line="182" w:lineRule="exact"/>
              <w:rPr>
                <w:sz w:val="20"/>
                <w:szCs w:val="20"/>
                <w:color w:val="auto"/>
              </w:rPr>
            </w:pPr>
            <w:r>
              <w:rPr>
                <w:rFonts w:ascii="Arial" w:cs="Arial" w:eastAsia="Arial" w:hAnsi="Arial"/>
                <w:sz w:val="16"/>
                <w:szCs w:val="16"/>
                <w:color w:val="auto"/>
              </w:rPr>
              <w:t>Revenues</w:t>
            </w:r>
          </w:p>
        </w:tc>
        <w:tc>
          <w:tcPr>
            <w:tcW w:w="2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ind w:left="100"/>
              <w:spacing w:after="0"/>
              <w:rPr>
                <w:sz w:val="20"/>
                <w:szCs w:val="20"/>
                <w:color w:val="auto"/>
              </w:rPr>
            </w:pPr>
            <w:r>
              <w:rPr>
                <w:rFonts w:ascii="Arial" w:cs="Arial" w:eastAsia="Arial" w:hAnsi="Arial"/>
                <w:sz w:val="16"/>
                <w:szCs w:val="16"/>
                <w:color w:val="auto"/>
              </w:rPr>
              <w:t>Affiliate services</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201.2</w:t>
            </w:r>
          </w:p>
        </w:tc>
        <w:tc>
          <w:tcPr>
            <w:tcW w:w="60" w:type="dxa"/>
            <w:vAlign w:val="bottom"/>
          </w:tcPr>
          <w:p>
            <w:pPr>
              <w:spacing w:after="0"/>
              <w:rPr>
                <w:sz w:val="16"/>
                <w:szCs w:val="16"/>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143.6</w:t>
            </w: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29.5</w:t>
            </w:r>
          </w:p>
        </w:tc>
        <w:tc>
          <w:tcPr>
            <w:tcW w:w="140" w:type="dxa"/>
            <w:vAlign w:val="bottom"/>
          </w:tcPr>
          <w:p>
            <w:pPr>
              <w:spacing w:after="0"/>
              <w:rPr>
                <w:sz w:val="16"/>
                <w:szCs w:val="16"/>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80" w:type="dxa"/>
            <w:vAlign w:val="bottom"/>
          </w:tcPr>
          <w:p>
            <w:pPr>
              <w:jc w:val="right"/>
              <w:ind w:right="57"/>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374.3</w:t>
            </w:r>
          </w:p>
        </w:tc>
        <w:tc>
          <w:tcPr>
            <w:tcW w:w="0" w:type="dxa"/>
            <w:vAlign w:val="bottom"/>
          </w:tcPr>
          <w:p>
            <w:pPr>
              <w:spacing w:after="0"/>
              <w:rPr>
                <w:sz w:val="1"/>
                <w:szCs w:val="1"/>
                <w:color w:val="auto"/>
              </w:rPr>
            </w:pPr>
          </w:p>
        </w:tc>
      </w:tr>
      <w:tr>
        <w:trPr>
          <w:trHeight w:val="189"/>
        </w:trPr>
        <w:tc>
          <w:tcPr>
            <w:tcW w:w="4460" w:type="dxa"/>
            <w:vAlign w:val="bottom"/>
            <w:gridSpan w:val="2"/>
          </w:tcPr>
          <w:p>
            <w:pPr>
              <w:ind w:left="100"/>
              <w:spacing w:after="0"/>
              <w:rPr>
                <w:sz w:val="20"/>
                <w:szCs w:val="20"/>
                <w:color w:val="auto"/>
              </w:rPr>
            </w:pPr>
            <w:r>
              <w:rPr>
                <w:rFonts w:ascii="Arial" w:cs="Arial" w:eastAsia="Arial" w:hAnsi="Arial"/>
                <w:sz w:val="16"/>
                <w:szCs w:val="16"/>
                <w:color w:val="auto"/>
              </w:rPr>
              <w:t>Third-party services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3"/>
        </w:trPr>
        <w:tc>
          <w:tcPr>
            <w:tcW w:w="4460" w:type="dxa"/>
            <w:vAlign w:val="bottom"/>
            <w:gridSpan w:val="2"/>
          </w:tcPr>
          <w:p>
            <w:pPr>
              <w:ind w:left="100"/>
              <w:spacing w:after="0"/>
              <w:rPr>
                <w:sz w:val="20"/>
                <w:szCs w:val="20"/>
                <w:color w:val="auto"/>
              </w:rPr>
            </w:pPr>
            <w:r>
              <w:rPr>
                <w:rFonts w:ascii="Arial" w:cs="Arial" w:eastAsia="Arial" w:hAnsi="Arial"/>
                <w:sz w:val="16"/>
                <w:szCs w:val="16"/>
                <w:color w:val="auto"/>
              </w:rPr>
              <w:t>Other income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3"/>
        </w:trPr>
        <w:tc>
          <w:tcPr>
            <w:tcW w:w="4460" w:type="dxa"/>
            <w:vAlign w:val="bottom"/>
            <w:gridSpan w:val="2"/>
          </w:tcPr>
          <w:p>
            <w:pPr>
              <w:ind w:left="140"/>
              <w:spacing w:after="0" w:line="183" w:lineRule="exact"/>
              <w:rPr>
                <w:sz w:val="20"/>
                <w:szCs w:val="20"/>
                <w:color w:val="auto"/>
              </w:rPr>
            </w:pPr>
            <w:r>
              <w:rPr>
                <w:rFonts w:ascii="Arial" w:cs="Arial" w:eastAsia="Arial" w:hAnsi="Arial"/>
                <w:sz w:val="16"/>
                <w:szCs w:val="16"/>
                <w:color w:val="auto"/>
              </w:rPr>
              <w:t>Total revenues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203.6</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147.8</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382.0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460" w:type="dxa"/>
            <w:vAlign w:val="bottom"/>
            <w:gridSpan w:val="2"/>
          </w:tcPr>
          <w:p>
            <w:pPr>
              <w:ind w:left="60"/>
              <w:spacing w:after="0" w:line="168" w:lineRule="exact"/>
              <w:rPr>
                <w:sz w:val="20"/>
                <w:szCs w:val="20"/>
                <w:color w:val="auto"/>
              </w:rPr>
            </w:pPr>
            <w:r>
              <w:rPr>
                <w:rFonts w:ascii="Arial" w:cs="Arial" w:eastAsia="Arial" w:hAnsi="Arial"/>
                <w:sz w:val="16"/>
                <w:szCs w:val="16"/>
                <w:color w:val="auto"/>
              </w:rPr>
              <w:t>Costs and expenses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ind w:left="100"/>
              <w:spacing w:after="0"/>
              <w:rPr>
                <w:sz w:val="20"/>
                <w:szCs w:val="20"/>
                <w:color w:val="auto"/>
              </w:rPr>
            </w:pPr>
            <w:r>
              <w:rPr>
                <w:rFonts w:ascii="Arial" w:cs="Arial" w:eastAsia="Arial" w:hAnsi="Arial"/>
                <w:sz w:val="16"/>
                <w:szCs w:val="16"/>
                <w:color w:val="auto"/>
              </w:rPr>
              <w:t>Operating and maintenance expenses (exclusive of</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ind w:left="200"/>
              <w:spacing w:after="0"/>
              <w:rPr>
                <w:sz w:val="20"/>
                <w:szCs w:val="20"/>
                <w:color w:val="auto"/>
              </w:rPr>
            </w:pPr>
            <w:r>
              <w:rPr>
                <w:rFonts w:ascii="Arial" w:cs="Arial" w:eastAsia="Arial" w:hAnsi="Arial"/>
                <w:sz w:val="16"/>
                <w:szCs w:val="16"/>
                <w:color w:val="auto"/>
              </w:rPr>
              <w:t>depreciation shown separately below)</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27.7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7.5</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189"/>
        </w:trPr>
        <w:tc>
          <w:tcPr>
            <w:tcW w:w="4460" w:type="dxa"/>
            <w:vAlign w:val="bottom"/>
            <w:gridSpan w:val="2"/>
          </w:tcPr>
          <w:p>
            <w:pPr>
              <w:ind w:left="100"/>
              <w:spacing w:after="0"/>
              <w:rPr>
                <w:sz w:val="20"/>
                <w:szCs w:val="20"/>
                <w:color w:val="auto"/>
              </w:rPr>
            </w:pPr>
            <w:r>
              <w:rPr>
                <w:rFonts w:ascii="Arial" w:cs="Arial" w:eastAsia="Arial" w:hAnsi="Arial"/>
                <w:sz w:val="16"/>
                <w:szCs w:val="16"/>
                <w:color w:val="auto"/>
              </w:rPr>
              <w:t>Depreciation expense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4.4</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203"/>
        </w:trPr>
        <w:tc>
          <w:tcPr>
            <w:tcW w:w="4460" w:type="dxa"/>
            <w:vAlign w:val="bottom"/>
            <w:gridSpan w:val="2"/>
          </w:tcPr>
          <w:p>
            <w:pPr>
              <w:ind w:left="100"/>
              <w:spacing w:after="0"/>
              <w:rPr>
                <w:sz w:val="20"/>
                <w:szCs w:val="20"/>
                <w:color w:val="auto"/>
              </w:rPr>
            </w:pPr>
            <w:r>
              <w:rPr>
                <w:rFonts w:ascii="Arial" w:cs="Arial" w:eastAsia="Arial" w:hAnsi="Arial"/>
                <w:sz w:val="16"/>
                <w:szCs w:val="16"/>
                <w:color w:val="auto"/>
              </w:rPr>
              <w:t>General and administrative expenses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0.3</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83"/>
        </w:trPr>
        <w:tc>
          <w:tcPr>
            <w:tcW w:w="4460" w:type="dxa"/>
            <w:vAlign w:val="bottom"/>
            <w:gridSpan w:val="2"/>
          </w:tcPr>
          <w:p>
            <w:pPr>
              <w:ind w:left="140"/>
              <w:spacing w:after="0" w:line="183" w:lineRule="exact"/>
              <w:rPr>
                <w:sz w:val="20"/>
                <w:szCs w:val="20"/>
                <w:color w:val="auto"/>
              </w:rPr>
            </w:pPr>
            <w:r>
              <w:rPr>
                <w:rFonts w:ascii="Arial" w:cs="Arial" w:eastAsia="Arial" w:hAnsi="Arial"/>
                <w:sz w:val="16"/>
                <w:szCs w:val="16"/>
                <w:color w:val="auto"/>
              </w:rPr>
              <w:t>Total operating costs and expenses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85.8</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44.1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460" w:type="dxa"/>
            <w:vAlign w:val="bottom"/>
            <w:gridSpan w:val="2"/>
          </w:tcPr>
          <w:p>
            <w:pPr>
              <w:ind w:left="60"/>
              <w:spacing w:after="0" w:line="168" w:lineRule="exact"/>
              <w:rPr>
                <w:sz w:val="20"/>
                <w:szCs w:val="20"/>
                <w:color w:val="auto"/>
              </w:rPr>
            </w:pPr>
            <w:r>
              <w:rPr>
                <w:rFonts w:ascii="Arial" w:cs="Arial" w:eastAsia="Arial" w:hAnsi="Arial"/>
                <w:sz w:val="16"/>
                <w:szCs w:val="16"/>
                <w:color w:val="auto"/>
              </w:rPr>
              <w:t>Income (loss) from operations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Arial" w:cs="Arial" w:eastAsia="Arial" w:hAnsi="Arial"/>
                <w:sz w:val="16"/>
                <w:szCs w:val="16"/>
                <w:color w:val="auto"/>
              </w:rPr>
              <w:t>117.8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Arial" w:cs="Arial" w:eastAsia="Arial" w:hAnsi="Arial"/>
                <w:sz w:val="16"/>
                <w:szCs w:val="16"/>
                <w:color w:val="auto"/>
              </w:rPr>
              <w:t>103.7</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Arial" w:cs="Arial" w:eastAsia="Arial" w:hAnsi="Arial"/>
                <w:sz w:val="16"/>
                <w:szCs w:val="16"/>
                <w:color w:val="auto"/>
              </w:rPr>
              <w:t>18.4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0"/>
              <w:spacing w:after="0" w:line="168" w:lineRule="exact"/>
              <w:rPr>
                <w:sz w:val="20"/>
                <w:szCs w:val="20"/>
                <w:color w:val="auto"/>
              </w:rPr>
            </w:pPr>
            <w:r>
              <w:rPr>
                <w:rFonts w:ascii="Arial" w:cs="Arial" w:eastAsia="Arial" w:hAnsi="Arial"/>
                <w:sz w:val="16"/>
                <w:szCs w:val="16"/>
                <w:color w:val="auto"/>
              </w:rPr>
              <w:t>(2.5)</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Arial" w:cs="Arial" w:eastAsia="Arial" w:hAnsi="Arial"/>
                <w:sz w:val="16"/>
                <w:szCs w:val="16"/>
                <w:color w:val="auto"/>
              </w:rPr>
              <w:t>237.4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ind w:left="100"/>
              <w:spacing w:after="0"/>
              <w:rPr>
                <w:sz w:val="20"/>
                <w:szCs w:val="20"/>
                <w:color w:val="auto"/>
              </w:rPr>
            </w:pPr>
            <w:r>
              <w:rPr>
                <w:rFonts w:ascii="Arial" w:cs="Arial" w:eastAsia="Arial" w:hAnsi="Arial"/>
                <w:sz w:val="16"/>
                <w:szCs w:val="16"/>
                <w:color w:val="auto"/>
              </w:rPr>
              <w:t>Income from equity investments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3"/>
        </w:trPr>
        <w:tc>
          <w:tcPr>
            <w:tcW w:w="4460" w:type="dxa"/>
            <w:vAlign w:val="bottom"/>
            <w:gridSpan w:val="2"/>
          </w:tcPr>
          <w:p>
            <w:pPr>
              <w:ind w:left="100"/>
              <w:spacing w:after="0"/>
              <w:rPr>
                <w:sz w:val="20"/>
                <w:szCs w:val="20"/>
                <w:color w:val="auto"/>
              </w:rPr>
            </w:pPr>
            <w:r>
              <w:rPr>
                <w:rFonts w:ascii="Arial" w:cs="Arial" w:eastAsia="Arial" w:hAnsi="Arial"/>
                <w:sz w:val="16"/>
                <w:szCs w:val="16"/>
                <w:color w:val="auto"/>
              </w:rPr>
              <w:t>Interest expense, net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56.4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ind w:left="60"/>
              <w:spacing w:after="0"/>
              <w:rPr>
                <w:sz w:val="20"/>
                <w:szCs w:val="20"/>
                <w:color w:val="auto"/>
              </w:rPr>
            </w:pPr>
            <w:r>
              <w:rPr>
                <w:rFonts w:ascii="Arial" w:cs="Arial" w:eastAsia="Arial" w:hAnsi="Arial"/>
                <w:sz w:val="16"/>
                <w:szCs w:val="16"/>
                <w:color w:val="auto"/>
              </w:rPr>
              <w:t>Income before income tax expense</w:t>
            </w: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46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Arial" w:cs="Arial" w:eastAsia="Arial" w:hAnsi="Arial"/>
                <w:sz w:val="16"/>
                <w:szCs w:val="16"/>
                <w:color w:val="auto"/>
              </w:rPr>
              <w:t>117.8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Arial" w:cs="Arial" w:eastAsia="Arial" w:hAnsi="Arial"/>
                <w:sz w:val="16"/>
                <w:szCs w:val="16"/>
                <w:color w:val="auto"/>
              </w:rPr>
              <w:t>107.1</w:t>
            </w:r>
          </w:p>
        </w:tc>
        <w:tc>
          <w:tcPr>
            <w:tcW w:w="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Arial" w:cs="Arial" w:eastAsia="Arial" w:hAnsi="Arial"/>
                <w:sz w:val="16"/>
                <w:szCs w:val="16"/>
                <w:color w:val="auto"/>
              </w:rPr>
              <w:t>18.4</w:t>
            </w:r>
          </w:p>
        </w:tc>
        <w:tc>
          <w:tcPr>
            <w:tcW w:w="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0"/>
              <w:spacing w:after="0" w:line="168" w:lineRule="exact"/>
              <w:rPr>
                <w:sz w:val="20"/>
                <w:szCs w:val="20"/>
                <w:color w:val="auto"/>
              </w:rPr>
            </w:pPr>
            <w:r>
              <w:rPr>
                <w:rFonts w:ascii="Arial" w:cs="Arial" w:eastAsia="Arial" w:hAnsi="Arial"/>
                <w:sz w:val="16"/>
                <w:szCs w:val="16"/>
                <w:color w:val="auto"/>
              </w:rPr>
              <w:t>(58.9)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Arial" w:cs="Arial" w:eastAsia="Arial" w:hAnsi="Arial"/>
                <w:sz w:val="16"/>
                <w:szCs w:val="16"/>
                <w:color w:val="auto"/>
              </w:rPr>
              <w:t>184.4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ind w:left="100"/>
              <w:spacing w:after="0"/>
              <w:rPr>
                <w:sz w:val="20"/>
                <w:szCs w:val="20"/>
                <w:color w:val="auto"/>
              </w:rPr>
            </w:pPr>
            <w:r>
              <w:rPr>
                <w:rFonts w:ascii="Arial" w:cs="Arial" w:eastAsia="Arial" w:hAnsi="Arial"/>
                <w:sz w:val="16"/>
                <w:szCs w:val="16"/>
                <w:color w:val="auto"/>
              </w:rPr>
              <w:t>Income tax expense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23.0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ind w:left="60"/>
              <w:spacing w:after="0"/>
              <w:rPr>
                <w:sz w:val="20"/>
                <w:szCs w:val="20"/>
                <w:color w:val="auto"/>
              </w:rPr>
            </w:pPr>
            <w:r>
              <w:rPr>
                <w:rFonts w:ascii="Arial" w:cs="Arial" w:eastAsia="Arial" w:hAnsi="Arial"/>
                <w:sz w:val="16"/>
                <w:szCs w:val="16"/>
                <w:color w:val="auto"/>
              </w:rPr>
              <w:t>Net income (loss)</w:t>
            </w: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46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Arial" w:cs="Arial" w:eastAsia="Arial" w:hAnsi="Arial"/>
                <w:sz w:val="16"/>
                <w:szCs w:val="16"/>
                <w:color w:val="auto"/>
              </w:rPr>
              <w:t>117.8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Arial" w:cs="Arial" w:eastAsia="Arial" w:hAnsi="Arial"/>
                <w:sz w:val="16"/>
                <w:szCs w:val="16"/>
                <w:color w:val="auto"/>
              </w:rPr>
              <w:t>107.1</w:t>
            </w:r>
          </w:p>
        </w:tc>
        <w:tc>
          <w:tcPr>
            <w:tcW w:w="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Arial" w:cs="Arial" w:eastAsia="Arial" w:hAnsi="Arial"/>
                <w:sz w:val="16"/>
                <w:szCs w:val="16"/>
                <w:color w:val="auto"/>
              </w:rPr>
              <w:t>18.4</w:t>
            </w:r>
          </w:p>
        </w:tc>
        <w:tc>
          <w:tcPr>
            <w:tcW w:w="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0"/>
              <w:spacing w:after="0" w:line="168" w:lineRule="exact"/>
              <w:rPr>
                <w:sz w:val="20"/>
                <w:szCs w:val="20"/>
                <w:color w:val="auto"/>
              </w:rPr>
            </w:pPr>
            <w:r>
              <w:rPr>
                <w:rFonts w:ascii="Arial" w:cs="Arial" w:eastAsia="Arial" w:hAnsi="Arial"/>
                <w:sz w:val="16"/>
                <w:szCs w:val="16"/>
                <w:color w:val="auto"/>
              </w:rPr>
              <w:t>(81.9)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Arial" w:cs="Arial" w:eastAsia="Arial" w:hAnsi="Arial"/>
                <w:sz w:val="16"/>
                <w:szCs w:val="16"/>
                <w:color w:val="auto"/>
              </w:rPr>
              <w:t>161.4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ind w:left="100"/>
              <w:spacing w:after="0"/>
              <w:rPr>
                <w:sz w:val="20"/>
                <w:szCs w:val="20"/>
                <w:color w:val="auto"/>
              </w:rPr>
            </w:pPr>
            <w:r>
              <w:rPr>
                <w:rFonts w:ascii="Arial" w:cs="Arial" w:eastAsia="Arial" w:hAnsi="Arial"/>
                <w:sz w:val="16"/>
                <w:szCs w:val="16"/>
                <w:color w:val="auto"/>
              </w:rPr>
              <w:t>Less: Net income (loss) attributable to</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57.3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52.0</w:t>
            </w:r>
          </w:p>
        </w:tc>
        <w:tc>
          <w:tcPr>
            <w:tcW w:w="6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9.0</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(28.5)</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89.8</w:t>
            </w:r>
          </w:p>
        </w:tc>
        <w:tc>
          <w:tcPr>
            <w:tcW w:w="0" w:type="dxa"/>
            <w:vAlign w:val="bottom"/>
          </w:tcPr>
          <w:p>
            <w:pPr>
              <w:spacing w:after="0"/>
              <w:rPr>
                <w:sz w:val="1"/>
                <w:szCs w:val="1"/>
                <w:color w:val="auto"/>
              </w:rPr>
            </w:pPr>
          </w:p>
        </w:tc>
      </w:tr>
      <w:tr>
        <w:trPr>
          <w:trHeight w:val="190"/>
        </w:trPr>
        <w:tc>
          <w:tcPr>
            <w:tcW w:w="4460" w:type="dxa"/>
            <w:vAlign w:val="bottom"/>
            <w:gridSpan w:val="2"/>
          </w:tcPr>
          <w:p>
            <w:pPr>
              <w:ind w:left="240"/>
              <w:spacing w:after="0"/>
              <w:rPr>
                <w:sz w:val="20"/>
                <w:szCs w:val="20"/>
                <w:color w:val="auto"/>
              </w:rPr>
            </w:pPr>
            <w:r>
              <w:rPr>
                <w:rFonts w:ascii="Arial" w:cs="Arial" w:eastAsia="Arial" w:hAnsi="Arial"/>
                <w:sz w:val="16"/>
                <w:szCs w:val="16"/>
                <w:color w:val="auto"/>
              </w:rPr>
              <w:t>noncontrolling interest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ind w:left="100"/>
              <w:spacing w:after="0"/>
              <w:rPr>
                <w:sz w:val="20"/>
                <w:szCs w:val="20"/>
                <w:color w:val="auto"/>
              </w:rPr>
            </w:pPr>
            <w:r>
              <w:rPr>
                <w:rFonts w:ascii="Arial" w:cs="Arial" w:eastAsia="Arial" w:hAnsi="Arial"/>
                <w:sz w:val="16"/>
                <w:szCs w:val="16"/>
                <w:color w:val="auto"/>
              </w:rPr>
              <w:t>Net income (loss) attributable to</w:t>
            </w: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460" w:type="dxa"/>
            <w:vAlign w:val="bottom"/>
            <w:gridSpan w:val="2"/>
            <w:vMerge w:val="continue"/>
          </w:tcPr>
          <w:p>
            <w:pPr>
              <w:spacing w:after="0"/>
              <w:rPr>
                <w:sz w:val="14"/>
                <w:szCs w:val="14"/>
                <w:color w:val="auto"/>
              </w:rPr>
            </w:pPr>
          </w:p>
        </w:tc>
        <w:tc>
          <w:tcPr>
            <w:tcW w:w="86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60.5</w:t>
            </w:r>
          </w:p>
        </w:tc>
        <w:tc>
          <w:tcPr>
            <w:tcW w:w="60" w:type="dxa"/>
            <w:vAlign w:val="bottom"/>
          </w:tcPr>
          <w:p>
            <w:pPr>
              <w:spacing w:after="0"/>
              <w:rPr>
                <w:sz w:val="14"/>
                <w:szCs w:val="14"/>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color w:val="auto"/>
              </w:rPr>
              <w:t>55.1</w:t>
            </w:r>
          </w:p>
        </w:tc>
        <w:tc>
          <w:tcPr>
            <w:tcW w:w="340" w:type="dxa"/>
            <w:vAlign w:val="bottom"/>
            <w:gridSpan w:val="2"/>
            <w:vMerge w:val="restart"/>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9.4</w:t>
            </w:r>
          </w:p>
        </w:tc>
        <w:tc>
          <w:tcPr>
            <w:tcW w:w="140" w:type="dxa"/>
            <w:vAlign w:val="bottom"/>
          </w:tcPr>
          <w:p>
            <w:pPr>
              <w:spacing w:after="0"/>
              <w:rPr>
                <w:sz w:val="14"/>
                <w:szCs w:val="14"/>
                <w:color w:val="auto"/>
              </w:rPr>
            </w:pP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89"/>
              </w:rPr>
              <w:t>$</w:t>
            </w: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(53.4)</w:t>
            </w:r>
          </w:p>
        </w:tc>
        <w:tc>
          <w:tcPr>
            <w:tcW w:w="180" w:type="dxa"/>
            <w:vAlign w:val="bottom"/>
          </w:tcPr>
          <w:p>
            <w:pPr>
              <w:spacing w:after="0"/>
              <w:rPr>
                <w:sz w:val="14"/>
                <w:szCs w:val="14"/>
                <w:color w:val="auto"/>
              </w:rPr>
            </w:pPr>
          </w:p>
        </w:tc>
        <w:tc>
          <w:tcPr>
            <w:tcW w:w="180" w:type="dxa"/>
            <w:vAlign w:val="bottom"/>
            <w:vMerge w:val="restart"/>
          </w:tcPr>
          <w:p>
            <w:pPr>
              <w:jc w:val="right"/>
              <w:ind w:right="57"/>
              <w:spacing w:after="0"/>
              <w:rPr>
                <w:sz w:val="20"/>
                <w:szCs w:val="20"/>
                <w:color w:val="auto"/>
              </w:rPr>
            </w:pPr>
            <w:r>
              <w:rPr>
                <w:rFonts w:ascii="Arial" w:cs="Arial" w:eastAsia="Arial" w:hAnsi="Arial"/>
                <w:sz w:val="10"/>
                <w:szCs w:val="10"/>
                <w:color w:val="auto"/>
                <w:w w:val="71"/>
              </w:rPr>
              <w:t>$</w:t>
            </w: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163"/>
        </w:trPr>
        <w:tc>
          <w:tcPr>
            <w:tcW w:w="4460" w:type="dxa"/>
            <w:vAlign w:val="bottom"/>
            <w:gridSpan w:val="2"/>
          </w:tcPr>
          <w:p>
            <w:pPr>
              <w:ind w:left="240"/>
              <w:spacing w:after="0" w:line="143" w:lineRule="exact"/>
              <w:rPr>
                <w:sz w:val="20"/>
                <w:szCs w:val="20"/>
                <w:color w:val="auto"/>
              </w:rPr>
            </w:pPr>
            <w:r>
              <w:rPr>
                <w:rFonts w:ascii="Arial" w:cs="Arial" w:eastAsia="Arial" w:hAnsi="Arial"/>
                <w:sz w:val="16"/>
                <w:szCs w:val="16"/>
                <w:color w:val="auto"/>
              </w:rPr>
              <w:t>Hess Midstream LP</w:t>
            </w:r>
          </w:p>
        </w:tc>
        <w:tc>
          <w:tcPr>
            <w:tcW w:w="860" w:type="dxa"/>
            <w:vAlign w:val="bottom"/>
            <w:gridSpan w:val="3"/>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497840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5" w:right="439" w:bottom="1440" w:gutter="0" w:footer="0" w:header="0"/>
        </w:sectPr>
      </w:pPr>
    </w:p>
    <w:bookmarkStart w:id="13" w:name="page14"/>
    <w:bookmarkEnd w:id="13"/>
    <w:p>
      <w:pPr>
        <w:jc w:val="center"/>
        <w:ind w:right="-119"/>
        <w:spacing w:after="0"/>
        <w:rPr>
          <w:sz w:val="20"/>
          <w:szCs w:val="20"/>
          <w:color w:val="auto"/>
        </w:rPr>
      </w:pPr>
      <w:r>
        <w:rPr>
          <w:rFonts w:ascii="Arial" w:cs="Arial" w:eastAsia="Arial" w:hAnsi="Arial"/>
          <w:sz w:val="18"/>
          <w:szCs w:val="18"/>
          <w:b w:val="1"/>
          <w:bCs w:val="1"/>
          <w:color w:val="auto"/>
        </w:rPr>
        <w:t>HESS MIDSTREAM LP</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SUPPLEMENTAL FINANCIAL DATA (UNAUDITED)</w:t>
      </w:r>
    </w:p>
    <w:p>
      <w:pPr>
        <w:jc w:val="center"/>
        <w:ind w:right="-119"/>
        <w:spacing w:after="0"/>
        <w:rPr>
          <w:sz w:val="20"/>
          <w:szCs w:val="20"/>
          <w:color w:val="auto"/>
        </w:rPr>
      </w:pPr>
      <w:r>
        <w:rPr>
          <w:rFonts w:ascii="Arial" w:cs="Arial" w:eastAsia="Arial" w:hAnsi="Arial"/>
          <w:sz w:val="18"/>
          <w:szCs w:val="18"/>
          <w:b w:val="1"/>
          <w:bCs w:val="1"/>
          <w:color w:val="auto"/>
        </w:rPr>
        <w:t>(IN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6"/>
                <w:szCs w:val="16"/>
                <w:b w:val="1"/>
                <w:bCs w:val="1"/>
                <w:color w:val="auto"/>
              </w:rPr>
              <w:t>Fourth Quarter 2025</w:t>
            </w: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8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center"/>
              <w:ind w:right="260"/>
              <w:spacing w:after="0" w:line="168" w:lineRule="exact"/>
              <w:rPr>
                <w:sz w:val="20"/>
                <w:szCs w:val="20"/>
                <w:color w:val="auto"/>
              </w:rPr>
            </w:pPr>
            <w:r>
              <w:rPr>
                <w:rFonts w:ascii="Arial" w:cs="Arial" w:eastAsia="Arial" w:hAnsi="Arial"/>
                <w:sz w:val="16"/>
                <w:szCs w:val="16"/>
                <w:b w:val="1"/>
                <w:bCs w:val="1"/>
                <w:color w:val="auto"/>
                <w:w w:val="99"/>
              </w:rPr>
              <w:t>Processing</w:t>
            </w:r>
          </w:p>
        </w:tc>
        <w:tc>
          <w:tcPr>
            <w:tcW w:w="1120" w:type="dxa"/>
            <w:vAlign w:val="bottom"/>
            <w:gridSpan w:val="3"/>
          </w:tcPr>
          <w:p>
            <w:pPr>
              <w:jc w:val="right"/>
              <w:ind w:right="160"/>
              <w:spacing w:after="0" w:line="168" w:lineRule="exact"/>
              <w:rPr>
                <w:sz w:val="20"/>
                <w:szCs w:val="20"/>
                <w:color w:val="auto"/>
              </w:rPr>
            </w:pPr>
            <w:r>
              <w:rPr>
                <w:rFonts w:ascii="Arial" w:cs="Arial" w:eastAsia="Arial" w:hAnsi="Arial"/>
                <w:sz w:val="16"/>
                <w:szCs w:val="16"/>
                <w:b w:val="1"/>
                <w:bCs w:val="1"/>
                <w:color w:val="auto"/>
              </w:rPr>
              <w:t>Terminaling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and</w:t>
            </w:r>
          </w:p>
        </w:tc>
        <w:tc>
          <w:tcPr>
            <w:tcW w:w="180" w:type="dxa"/>
            <w:vAlign w:val="bottom"/>
          </w:tcPr>
          <w:p>
            <w:pPr>
              <w:spacing w:after="0"/>
              <w:rPr>
                <w:sz w:val="16"/>
                <w:szCs w:val="16"/>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and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Interest</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Statement of operations</w:t>
            </w:r>
          </w:p>
        </w:tc>
        <w:tc>
          <w:tcPr>
            <w:tcW w:w="10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6"/>
                <w:szCs w:val="16"/>
                <w:b w:val="1"/>
                <w:bCs w:val="1"/>
                <w:color w:val="auto"/>
              </w:rPr>
              <w:t>Gathering</w:t>
            </w:r>
          </w:p>
        </w:tc>
        <w:tc>
          <w:tcPr>
            <w:tcW w:w="14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Storage</w:t>
            </w:r>
          </w:p>
        </w:tc>
        <w:tc>
          <w:tcPr>
            <w:tcW w:w="18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Export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and Other</w:t>
            </w:r>
          </w:p>
        </w:tc>
        <w:tc>
          <w:tcPr>
            <w:tcW w:w="200" w:type="dxa"/>
            <w:vAlign w:val="bottom"/>
          </w:tcPr>
          <w:p>
            <w:pPr>
              <w:spacing w:after="0"/>
              <w:rPr>
                <w:sz w:val="17"/>
                <w:szCs w:val="17"/>
                <w:color w:val="auto"/>
              </w:rPr>
            </w:pPr>
          </w:p>
        </w:tc>
        <w:tc>
          <w:tcPr>
            <w:tcW w:w="84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56"/>
        </w:trPr>
        <w:tc>
          <w:tcPr>
            <w:tcW w:w="5220" w:type="dxa"/>
            <w:vAlign w:val="bottom"/>
            <w:gridSpan w:val="2"/>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860" w:type="dxa"/>
            <w:vAlign w:val="bottom"/>
            <w:tcBorders>
              <w:top w:val="single" w:sz="8" w:color="auto"/>
            </w:tcBorders>
          </w:tcPr>
          <w:p>
            <w:pPr>
              <w:ind w:left="60"/>
              <w:spacing w:after="0" w:line="182" w:lineRule="exact"/>
              <w:rPr>
                <w:sz w:val="20"/>
                <w:szCs w:val="20"/>
                <w:color w:val="auto"/>
              </w:rPr>
            </w:pPr>
            <w:r>
              <w:rPr>
                <w:rFonts w:ascii="Arial" w:cs="Arial" w:eastAsia="Arial" w:hAnsi="Arial"/>
                <w:sz w:val="16"/>
                <w:szCs w:val="16"/>
                <w:color w:val="auto"/>
              </w:rPr>
              <w:t>Revenues</w:t>
            </w:r>
          </w:p>
        </w:tc>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20" w:type="dxa"/>
            <w:vAlign w:val="bottom"/>
            <w:gridSpan w:val="2"/>
          </w:tcPr>
          <w:p>
            <w:pPr>
              <w:ind w:left="100"/>
              <w:spacing w:after="0"/>
              <w:rPr>
                <w:sz w:val="20"/>
                <w:szCs w:val="20"/>
                <w:color w:val="auto"/>
              </w:rPr>
            </w:pPr>
            <w:r>
              <w:rPr>
                <w:rFonts w:ascii="Arial" w:cs="Arial" w:eastAsia="Arial" w:hAnsi="Arial"/>
                <w:sz w:val="16"/>
                <w:szCs w:val="16"/>
                <w:color w:val="auto"/>
              </w:rPr>
              <w:t>Affiliate services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211.0</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146.4</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31.0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388.4</w:t>
            </w:r>
          </w:p>
        </w:tc>
        <w:tc>
          <w:tcPr>
            <w:tcW w:w="0" w:type="dxa"/>
            <w:vAlign w:val="bottom"/>
          </w:tcPr>
          <w:p>
            <w:pPr>
              <w:spacing w:after="0"/>
              <w:rPr>
                <w:sz w:val="1"/>
                <w:szCs w:val="1"/>
                <w:color w:val="auto"/>
              </w:rPr>
            </w:pPr>
          </w:p>
        </w:tc>
      </w:tr>
      <w:tr>
        <w:trPr>
          <w:trHeight w:val="189"/>
        </w:trPr>
        <w:tc>
          <w:tcPr>
            <w:tcW w:w="5220" w:type="dxa"/>
            <w:vAlign w:val="bottom"/>
            <w:gridSpan w:val="2"/>
          </w:tcPr>
          <w:p>
            <w:pPr>
              <w:ind w:left="100"/>
              <w:spacing w:after="0"/>
              <w:rPr>
                <w:sz w:val="20"/>
                <w:szCs w:val="20"/>
                <w:color w:val="auto"/>
              </w:rPr>
            </w:pPr>
            <w:r>
              <w:rPr>
                <w:rFonts w:ascii="Arial" w:cs="Arial" w:eastAsia="Arial" w:hAnsi="Arial"/>
                <w:sz w:val="16"/>
                <w:szCs w:val="16"/>
                <w:color w:val="auto"/>
              </w:rPr>
              <w:t>Third-party services</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8.3</w:t>
            </w:r>
          </w:p>
        </w:tc>
        <w:tc>
          <w:tcPr>
            <w:tcW w:w="18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3"/>
        </w:trPr>
        <w:tc>
          <w:tcPr>
            <w:tcW w:w="5220" w:type="dxa"/>
            <w:vAlign w:val="bottom"/>
            <w:gridSpan w:val="2"/>
          </w:tcPr>
          <w:p>
            <w:pPr>
              <w:ind w:left="100"/>
              <w:spacing w:after="0"/>
              <w:rPr>
                <w:sz w:val="20"/>
                <w:szCs w:val="20"/>
                <w:color w:val="auto"/>
              </w:rPr>
            </w:pPr>
            <w:r>
              <w:rPr>
                <w:rFonts w:ascii="Arial" w:cs="Arial" w:eastAsia="Arial" w:hAnsi="Arial"/>
                <w:sz w:val="16"/>
                <w:szCs w:val="16"/>
                <w:color w:val="auto"/>
              </w:rPr>
              <w:t>Other income</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3"/>
        </w:trPr>
        <w:tc>
          <w:tcPr>
            <w:tcW w:w="5220" w:type="dxa"/>
            <w:vAlign w:val="bottom"/>
            <w:gridSpan w:val="2"/>
          </w:tcPr>
          <w:p>
            <w:pPr>
              <w:ind w:left="140"/>
              <w:spacing w:after="0" w:line="183" w:lineRule="exact"/>
              <w:rPr>
                <w:sz w:val="20"/>
                <w:szCs w:val="20"/>
                <w:color w:val="auto"/>
              </w:rPr>
            </w:pPr>
            <w:r>
              <w:rPr>
                <w:rFonts w:ascii="Arial" w:cs="Arial" w:eastAsia="Arial" w:hAnsi="Arial"/>
                <w:sz w:val="16"/>
                <w:szCs w:val="16"/>
                <w:color w:val="auto"/>
              </w:rPr>
              <w:t>Total revenues</w:t>
            </w: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217.3</w:t>
            </w:r>
          </w:p>
        </w:tc>
        <w:tc>
          <w:tcPr>
            <w:tcW w:w="2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154.7</w:t>
            </w:r>
          </w:p>
        </w:tc>
        <w:tc>
          <w:tcPr>
            <w:tcW w:w="2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220" w:type="dxa"/>
            <w:vAlign w:val="bottom"/>
            <w:gridSpan w:val="2"/>
          </w:tcPr>
          <w:p>
            <w:pPr>
              <w:ind w:left="60"/>
              <w:spacing w:after="0" w:line="168" w:lineRule="exact"/>
              <w:rPr>
                <w:sz w:val="20"/>
                <w:szCs w:val="20"/>
                <w:color w:val="auto"/>
              </w:rPr>
            </w:pPr>
            <w:r>
              <w:rPr>
                <w:rFonts w:ascii="Arial" w:cs="Arial" w:eastAsia="Arial" w:hAnsi="Arial"/>
                <w:sz w:val="16"/>
                <w:szCs w:val="16"/>
                <w:color w:val="auto"/>
              </w:rPr>
              <w:t>Costs and expenses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20" w:type="dxa"/>
            <w:vAlign w:val="bottom"/>
            <w:gridSpan w:val="2"/>
          </w:tcPr>
          <w:p>
            <w:pPr>
              <w:ind w:left="100"/>
              <w:spacing w:after="0"/>
              <w:rPr>
                <w:sz w:val="20"/>
                <w:szCs w:val="20"/>
                <w:color w:val="auto"/>
              </w:rPr>
            </w:pPr>
            <w:r>
              <w:rPr>
                <w:rFonts w:ascii="Arial" w:cs="Arial" w:eastAsia="Arial" w:hAnsi="Arial"/>
                <w:sz w:val="16"/>
                <w:szCs w:val="16"/>
                <w:color w:val="auto"/>
              </w:rPr>
              <w:t>Operating and maintenance expenses (exclusive of</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20" w:type="dxa"/>
            <w:vAlign w:val="bottom"/>
            <w:gridSpan w:val="2"/>
          </w:tcPr>
          <w:p>
            <w:pPr>
              <w:ind w:left="200"/>
              <w:spacing w:after="0"/>
              <w:rPr>
                <w:sz w:val="20"/>
                <w:szCs w:val="20"/>
                <w:color w:val="auto"/>
              </w:rPr>
            </w:pPr>
            <w:r>
              <w:rPr>
                <w:rFonts w:ascii="Arial" w:cs="Arial" w:eastAsia="Arial" w:hAnsi="Arial"/>
                <w:sz w:val="16"/>
                <w:szCs w:val="16"/>
                <w:color w:val="auto"/>
              </w:rPr>
              <w:t>depreciation shown separately below)</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31.9</w:t>
            </w:r>
          </w:p>
        </w:tc>
        <w:tc>
          <w:tcPr>
            <w:tcW w:w="18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92.8</w:t>
            </w:r>
          </w:p>
        </w:tc>
        <w:tc>
          <w:tcPr>
            <w:tcW w:w="0" w:type="dxa"/>
            <w:vAlign w:val="bottom"/>
          </w:tcPr>
          <w:p>
            <w:pPr>
              <w:spacing w:after="0"/>
              <w:rPr>
                <w:sz w:val="1"/>
                <w:szCs w:val="1"/>
                <w:color w:val="auto"/>
              </w:rPr>
            </w:pPr>
          </w:p>
        </w:tc>
      </w:tr>
      <w:tr>
        <w:trPr>
          <w:trHeight w:val="189"/>
        </w:trPr>
        <w:tc>
          <w:tcPr>
            <w:tcW w:w="5220" w:type="dxa"/>
            <w:vAlign w:val="bottom"/>
            <w:gridSpan w:val="2"/>
          </w:tcPr>
          <w:p>
            <w:pPr>
              <w:ind w:left="100"/>
              <w:spacing w:after="0"/>
              <w:rPr>
                <w:sz w:val="20"/>
                <w:szCs w:val="20"/>
                <w:color w:val="auto"/>
              </w:rPr>
            </w:pPr>
            <w:r>
              <w:rPr>
                <w:rFonts w:ascii="Arial" w:cs="Arial" w:eastAsia="Arial" w:hAnsi="Arial"/>
                <w:sz w:val="16"/>
                <w:szCs w:val="16"/>
                <w:color w:val="auto"/>
              </w:rPr>
              <w:t>Depreciation expense</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14.8</w:t>
            </w:r>
          </w:p>
        </w:tc>
        <w:tc>
          <w:tcPr>
            <w:tcW w:w="18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54.2</w:t>
            </w:r>
          </w:p>
        </w:tc>
        <w:tc>
          <w:tcPr>
            <w:tcW w:w="0" w:type="dxa"/>
            <w:vAlign w:val="bottom"/>
          </w:tcPr>
          <w:p>
            <w:pPr>
              <w:spacing w:after="0"/>
              <w:rPr>
                <w:sz w:val="1"/>
                <w:szCs w:val="1"/>
                <w:color w:val="auto"/>
              </w:rPr>
            </w:pPr>
          </w:p>
        </w:tc>
      </w:tr>
      <w:tr>
        <w:trPr>
          <w:trHeight w:val="203"/>
        </w:trPr>
        <w:tc>
          <w:tcPr>
            <w:tcW w:w="5220" w:type="dxa"/>
            <w:vAlign w:val="bottom"/>
            <w:gridSpan w:val="2"/>
          </w:tcPr>
          <w:p>
            <w:pPr>
              <w:ind w:left="100"/>
              <w:spacing w:after="0"/>
              <w:rPr>
                <w:sz w:val="20"/>
                <w:szCs w:val="20"/>
                <w:color w:val="auto"/>
              </w:rPr>
            </w:pPr>
            <w:r>
              <w:rPr>
                <w:rFonts w:ascii="Arial" w:cs="Arial" w:eastAsia="Arial" w:hAnsi="Arial"/>
                <w:sz w:val="16"/>
                <w:szCs w:val="16"/>
                <w:color w:val="auto"/>
              </w:rPr>
              <w:t>General and administrative expenses</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1.4</w:t>
            </w:r>
          </w:p>
        </w:tc>
        <w:tc>
          <w:tcPr>
            <w:tcW w:w="1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83"/>
        </w:trPr>
        <w:tc>
          <w:tcPr>
            <w:tcW w:w="5220" w:type="dxa"/>
            <w:vAlign w:val="bottom"/>
            <w:gridSpan w:val="2"/>
          </w:tcPr>
          <w:p>
            <w:pPr>
              <w:ind w:left="140"/>
              <w:spacing w:after="0" w:line="183" w:lineRule="exact"/>
              <w:rPr>
                <w:sz w:val="20"/>
                <w:szCs w:val="20"/>
                <w:color w:val="auto"/>
              </w:rPr>
            </w:pPr>
            <w:r>
              <w:rPr>
                <w:rFonts w:ascii="Arial" w:cs="Arial" w:eastAsia="Arial" w:hAnsi="Arial"/>
                <w:sz w:val="16"/>
                <w:szCs w:val="16"/>
                <w:color w:val="auto"/>
              </w:rPr>
              <w:t>Total operating costs and expenses</w:t>
            </w: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89.6</w:t>
            </w:r>
          </w:p>
        </w:tc>
        <w:tc>
          <w:tcPr>
            <w:tcW w:w="2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48.1</w:t>
            </w:r>
          </w:p>
        </w:tc>
        <w:tc>
          <w:tcPr>
            <w:tcW w:w="2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w:t>
            </w:r>
          </w:p>
        </w:tc>
        <w:tc>
          <w:tcPr>
            <w:tcW w:w="2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220" w:type="dxa"/>
            <w:vAlign w:val="bottom"/>
            <w:gridSpan w:val="2"/>
          </w:tcPr>
          <w:p>
            <w:pPr>
              <w:ind w:left="60"/>
              <w:spacing w:after="0" w:line="168" w:lineRule="exact"/>
              <w:rPr>
                <w:sz w:val="20"/>
                <w:szCs w:val="20"/>
                <w:color w:val="auto"/>
              </w:rPr>
            </w:pPr>
            <w:r>
              <w:rPr>
                <w:rFonts w:ascii="Arial" w:cs="Arial" w:eastAsia="Arial" w:hAnsi="Arial"/>
                <w:sz w:val="16"/>
                <w:szCs w:val="16"/>
                <w:color w:val="auto"/>
              </w:rPr>
              <w:t>Income (loss) from operations</w:t>
            </w:r>
          </w:p>
        </w:tc>
        <w:tc>
          <w:tcPr>
            <w:tcW w:w="10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Arial" w:cs="Arial" w:eastAsia="Arial" w:hAnsi="Arial"/>
                <w:sz w:val="16"/>
                <w:szCs w:val="16"/>
                <w:color w:val="auto"/>
              </w:rPr>
              <w:t>127.7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Arial" w:cs="Arial" w:eastAsia="Arial" w:hAnsi="Arial"/>
                <w:sz w:val="16"/>
                <w:szCs w:val="16"/>
                <w:color w:val="auto"/>
              </w:rPr>
              <w:t>106.6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Arial" w:cs="Arial" w:eastAsia="Arial" w:hAnsi="Arial"/>
                <w:sz w:val="16"/>
                <w:szCs w:val="16"/>
                <w:color w:val="auto"/>
              </w:rPr>
              <w:t>18.9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60"/>
              <w:spacing w:after="0" w:line="168" w:lineRule="exact"/>
              <w:rPr>
                <w:sz w:val="20"/>
                <w:szCs w:val="20"/>
                <w:color w:val="auto"/>
              </w:rPr>
            </w:pPr>
            <w:r>
              <w:rPr>
                <w:rFonts w:ascii="Arial" w:cs="Arial" w:eastAsia="Arial" w:hAnsi="Arial"/>
                <w:sz w:val="16"/>
                <w:szCs w:val="16"/>
                <w:color w:val="auto"/>
              </w:rPr>
              <w:t>(1.6)</w:t>
            </w:r>
          </w:p>
        </w:tc>
        <w:tc>
          <w:tcPr>
            <w:tcW w:w="2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Arial" w:cs="Arial" w:eastAsia="Arial" w:hAnsi="Arial"/>
                <w:sz w:val="16"/>
                <w:szCs w:val="16"/>
                <w:color w:val="auto"/>
              </w:rPr>
              <w:t>251.6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20" w:type="dxa"/>
            <w:vAlign w:val="bottom"/>
            <w:gridSpan w:val="2"/>
          </w:tcPr>
          <w:p>
            <w:pPr>
              <w:ind w:left="100"/>
              <w:spacing w:after="0"/>
              <w:rPr>
                <w:sz w:val="20"/>
                <w:szCs w:val="20"/>
                <w:color w:val="auto"/>
              </w:rPr>
            </w:pPr>
            <w:r>
              <w:rPr>
                <w:rFonts w:ascii="Arial" w:cs="Arial" w:eastAsia="Arial" w:hAnsi="Arial"/>
                <w:sz w:val="16"/>
                <w:szCs w:val="16"/>
                <w:color w:val="auto"/>
              </w:rPr>
              <w:t>Income from equity investments</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3"/>
        </w:trPr>
        <w:tc>
          <w:tcPr>
            <w:tcW w:w="5220" w:type="dxa"/>
            <w:vAlign w:val="bottom"/>
            <w:gridSpan w:val="2"/>
          </w:tcPr>
          <w:p>
            <w:pPr>
              <w:ind w:left="100"/>
              <w:spacing w:after="0"/>
              <w:rPr>
                <w:sz w:val="20"/>
                <w:szCs w:val="20"/>
                <w:color w:val="auto"/>
              </w:rPr>
            </w:pPr>
            <w:r>
              <w:rPr>
                <w:rFonts w:ascii="Arial" w:cs="Arial" w:eastAsia="Arial" w:hAnsi="Arial"/>
                <w:sz w:val="16"/>
                <w:szCs w:val="16"/>
                <w:color w:val="auto"/>
              </w:rPr>
              <w:t>Interest expense, net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56.7</w:t>
            </w:r>
          </w:p>
        </w:tc>
        <w:tc>
          <w:tcPr>
            <w:tcW w:w="20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ind w:left="60"/>
              <w:spacing w:after="0"/>
              <w:rPr>
                <w:sz w:val="20"/>
                <w:szCs w:val="20"/>
                <w:color w:val="auto"/>
              </w:rPr>
            </w:pPr>
            <w:r>
              <w:rPr>
                <w:rFonts w:ascii="Arial" w:cs="Arial" w:eastAsia="Arial" w:hAnsi="Arial"/>
                <w:sz w:val="16"/>
                <w:szCs w:val="16"/>
                <w:color w:val="auto"/>
              </w:rPr>
              <w:t>Income before income tax expense</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Arial" w:cs="Arial" w:eastAsia="Arial" w:hAnsi="Arial"/>
                <w:sz w:val="16"/>
                <w:szCs w:val="16"/>
                <w:color w:val="auto"/>
              </w:rPr>
              <w:t>127.7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Arial" w:cs="Arial" w:eastAsia="Arial" w:hAnsi="Arial"/>
                <w:sz w:val="16"/>
                <w:szCs w:val="16"/>
                <w:color w:val="auto"/>
              </w:rPr>
              <w:t>109.9</w:t>
            </w:r>
          </w:p>
        </w:tc>
        <w:tc>
          <w:tcPr>
            <w:tcW w:w="2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Arial" w:cs="Arial" w:eastAsia="Arial" w:hAnsi="Arial"/>
                <w:sz w:val="16"/>
                <w:szCs w:val="16"/>
                <w:color w:val="auto"/>
              </w:rPr>
              <w:t>18.9</w:t>
            </w:r>
          </w:p>
        </w:tc>
        <w:tc>
          <w:tcPr>
            <w:tcW w:w="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60"/>
              <w:spacing w:after="0" w:line="168" w:lineRule="exact"/>
              <w:rPr>
                <w:sz w:val="20"/>
                <w:szCs w:val="20"/>
                <w:color w:val="auto"/>
              </w:rPr>
            </w:pPr>
            <w:r>
              <w:rPr>
                <w:rFonts w:ascii="Arial" w:cs="Arial" w:eastAsia="Arial" w:hAnsi="Arial"/>
                <w:sz w:val="16"/>
                <w:szCs w:val="16"/>
                <w:color w:val="auto"/>
              </w:rPr>
              <w:t>(58.3)</w:t>
            </w:r>
          </w:p>
        </w:tc>
        <w:tc>
          <w:tcPr>
            <w:tcW w:w="2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Arial" w:cs="Arial" w:eastAsia="Arial" w:hAnsi="Arial"/>
                <w:sz w:val="16"/>
                <w:szCs w:val="16"/>
                <w:color w:val="auto"/>
              </w:rPr>
              <w:t>198.2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20" w:type="dxa"/>
            <w:vAlign w:val="bottom"/>
            <w:gridSpan w:val="2"/>
          </w:tcPr>
          <w:p>
            <w:pPr>
              <w:ind w:left="100"/>
              <w:spacing w:after="0"/>
              <w:rPr>
                <w:sz w:val="20"/>
                <w:szCs w:val="20"/>
                <w:color w:val="auto"/>
              </w:rPr>
            </w:pPr>
            <w:r>
              <w:rPr>
                <w:rFonts w:ascii="Arial" w:cs="Arial" w:eastAsia="Arial" w:hAnsi="Arial"/>
                <w:sz w:val="16"/>
                <w:szCs w:val="16"/>
                <w:color w:val="auto"/>
              </w:rPr>
              <w:t>Income tax expense</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30.2</w:t>
            </w:r>
          </w:p>
        </w:tc>
        <w:tc>
          <w:tcPr>
            <w:tcW w:w="20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ind w:left="60"/>
              <w:spacing w:after="0"/>
              <w:rPr>
                <w:sz w:val="20"/>
                <w:szCs w:val="20"/>
                <w:color w:val="auto"/>
              </w:rPr>
            </w:pPr>
            <w:r>
              <w:rPr>
                <w:rFonts w:ascii="Arial" w:cs="Arial" w:eastAsia="Arial" w:hAnsi="Arial"/>
                <w:sz w:val="16"/>
                <w:szCs w:val="16"/>
                <w:color w:val="auto"/>
              </w:rPr>
              <w:t>Net income (loss)</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Arial" w:cs="Arial" w:eastAsia="Arial" w:hAnsi="Arial"/>
                <w:sz w:val="16"/>
                <w:szCs w:val="16"/>
                <w:color w:val="auto"/>
              </w:rPr>
              <w:t>127.7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Arial" w:cs="Arial" w:eastAsia="Arial" w:hAnsi="Arial"/>
                <w:sz w:val="16"/>
                <w:szCs w:val="16"/>
                <w:color w:val="auto"/>
              </w:rPr>
              <w:t>109.9</w:t>
            </w:r>
          </w:p>
        </w:tc>
        <w:tc>
          <w:tcPr>
            <w:tcW w:w="2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Arial" w:cs="Arial" w:eastAsia="Arial" w:hAnsi="Arial"/>
                <w:sz w:val="16"/>
                <w:szCs w:val="16"/>
                <w:color w:val="auto"/>
              </w:rPr>
              <w:t>18.9</w:t>
            </w:r>
          </w:p>
        </w:tc>
        <w:tc>
          <w:tcPr>
            <w:tcW w:w="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60"/>
              <w:spacing w:after="0" w:line="168" w:lineRule="exact"/>
              <w:rPr>
                <w:sz w:val="20"/>
                <w:szCs w:val="20"/>
                <w:color w:val="auto"/>
              </w:rPr>
            </w:pPr>
            <w:r>
              <w:rPr>
                <w:rFonts w:ascii="Arial" w:cs="Arial" w:eastAsia="Arial" w:hAnsi="Arial"/>
                <w:sz w:val="16"/>
                <w:szCs w:val="16"/>
                <w:color w:val="auto"/>
              </w:rPr>
              <w:t>(88.5)</w:t>
            </w:r>
          </w:p>
        </w:tc>
        <w:tc>
          <w:tcPr>
            <w:tcW w:w="2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Arial" w:cs="Arial" w:eastAsia="Arial" w:hAnsi="Arial"/>
                <w:sz w:val="16"/>
                <w:szCs w:val="16"/>
                <w:color w:val="auto"/>
              </w:rPr>
              <w:t>168.0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20" w:type="dxa"/>
            <w:vAlign w:val="bottom"/>
            <w:gridSpan w:val="2"/>
          </w:tcPr>
          <w:p>
            <w:pPr>
              <w:ind w:left="100"/>
              <w:spacing w:after="0"/>
              <w:rPr>
                <w:sz w:val="20"/>
                <w:szCs w:val="20"/>
                <w:color w:val="auto"/>
              </w:rPr>
            </w:pPr>
            <w:r>
              <w:rPr>
                <w:rFonts w:ascii="Arial" w:cs="Arial" w:eastAsia="Arial" w:hAnsi="Arial"/>
                <w:sz w:val="16"/>
                <w:szCs w:val="16"/>
                <w:color w:val="auto"/>
              </w:rPr>
              <w:t>Less: Net income (loss) attributable to</w:t>
            </w:r>
          </w:p>
        </w:tc>
        <w:tc>
          <w:tcPr>
            <w:tcW w:w="1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48.2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41.4</w:t>
            </w:r>
          </w:p>
        </w:tc>
        <w:tc>
          <w:tcPr>
            <w:tcW w:w="20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(22.1)</w:t>
            </w:r>
          </w:p>
        </w:tc>
        <w:tc>
          <w:tcPr>
            <w:tcW w:w="200" w:type="dxa"/>
            <w:vAlign w:val="bottom"/>
          </w:tcPr>
          <w:p>
            <w:pPr>
              <w:spacing w:after="0"/>
              <w:rPr>
                <w:sz w:val="16"/>
                <w:szCs w:val="16"/>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74.7</w:t>
            </w:r>
          </w:p>
        </w:tc>
        <w:tc>
          <w:tcPr>
            <w:tcW w:w="0" w:type="dxa"/>
            <w:vAlign w:val="bottom"/>
          </w:tcPr>
          <w:p>
            <w:pPr>
              <w:spacing w:after="0"/>
              <w:rPr>
                <w:sz w:val="1"/>
                <w:szCs w:val="1"/>
                <w:color w:val="auto"/>
              </w:rPr>
            </w:pPr>
          </w:p>
        </w:tc>
      </w:tr>
      <w:tr>
        <w:trPr>
          <w:trHeight w:val="190"/>
        </w:trPr>
        <w:tc>
          <w:tcPr>
            <w:tcW w:w="5220" w:type="dxa"/>
            <w:vAlign w:val="bottom"/>
            <w:gridSpan w:val="2"/>
          </w:tcPr>
          <w:p>
            <w:pPr>
              <w:ind w:left="240"/>
              <w:spacing w:after="0"/>
              <w:rPr>
                <w:sz w:val="20"/>
                <w:szCs w:val="20"/>
                <w:color w:val="auto"/>
              </w:rPr>
            </w:pPr>
            <w:r>
              <w:rPr>
                <w:rFonts w:ascii="Arial" w:cs="Arial" w:eastAsia="Arial" w:hAnsi="Arial"/>
                <w:sz w:val="16"/>
                <w:szCs w:val="16"/>
                <w:color w:val="auto"/>
              </w:rPr>
              <w:t>noncontrolling interest</w:t>
            </w: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ind w:left="100"/>
              <w:spacing w:after="0"/>
              <w:rPr>
                <w:sz w:val="20"/>
                <w:szCs w:val="20"/>
                <w:color w:val="auto"/>
              </w:rPr>
            </w:pPr>
            <w:r>
              <w:rPr>
                <w:rFonts w:ascii="Arial" w:cs="Arial" w:eastAsia="Arial" w:hAnsi="Arial"/>
                <w:sz w:val="16"/>
                <w:szCs w:val="16"/>
                <w:color w:val="auto"/>
              </w:rPr>
              <w:t>Net income (loss) attributable to</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220" w:type="dxa"/>
            <w:vAlign w:val="bottom"/>
            <w:gridSpan w:val="2"/>
            <w:vMerge w:val="continue"/>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79.5</w:t>
            </w:r>
          </w:p>
        </w:tc>
        <w:tc>
          <w:tcPr>
            <w:tcW w:w="2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68.5</w:t>
            </w:r>
          </w:p>
        </w:tc>
        <w:tc>
          <w:tcPr>
            <w:tcW w:w="200" w:type="dxa"/>
            <w:vAlign w:val="bottom"/>
            <w:vMerge w:val="restart"/>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11.7</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(66.4)</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93.3</w:t>
            </w:r>
          </w:p>
        </w:tc>
        <w:tc>
          <w:tcPr>
            <w:tcW w:w="0" w:type="dxa"/>
            <w:vAlign w:val="bottom"/>
          </w:tcPr>
          <w:p>
            <w:pPr>
              <w:spacing w:after="0"/>
              <w:rPr>
                <w:sz w:val="1"/>
                <w:szCs w:val="1"/>
                <w:color w:val="auto"/>
              </w:rPr>
            </w:pPr>
          </w:p>
        </w:tc>
      </w:tr>
      <w:tr>
        <w:trPr>
          <w:trHeight w:val="163"/>
        </w:trPr>
        <w:tc>
          <w:tcPr>
            <w:tcW w:w="5220" w:type="dxa"/>
            <w:vAlign w:val="bottom"/>
            <w:gridSpan w:val="2"/>
          </w:tcPr>
          <w:p>
            <w:pPr>
              <w:ind w:left="240"/>
              <w:spacing w:after="0" w:line="143" w:lineRule="exact"/>
              <w:rPr>
                <w:sz w:val="20"/>
                <w:szCs w:val="20"/>
                <w:color w:val="auto"/>
              </w:rPr>
            </w:pPr>
            <w:r>
              <w:rPr>
                <w:rFonts w:ascii="Arial" w:cs="Arial" w:eastAsia="Arial" w:hAnsi="Arial"/>
                <w:sz w:val="16"/>
                <w:szCs w:val="16"/>
                <w:color w:val="auto"/>
              </w:rPr>
              <w:t>Hess Midstream LP</w:t>
            </w:r>
          </w:p>
        </w:tc>
        <w:tc>
          <w:tcPr>
            <w:tcW w:w="1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497840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5" w:right="459" w:bottom="1440" w:gutter="0" w:footer="0" w:header="0"/>
        </w:sectPr>
      </w:pPr>
    </w:p>
    <w:bookmarkStart w:id="14" w:name="page15"/>
    <w:bookmarkEnd w:id="14"/>
    <w:p>
      <w:pPr>
        <w:jc w:val="center"/>
        <w:ind w:right="-99"/>
        <w:spacing w:after="0"/>
        <w:rPr>
          <w:sz w:val="20"/>
          <w:szCs w:val="20"/>
          <w:color w:val="auto"/>
        </w:rPr>
      </w:pPr>
      <w:r>
        <w:rPr>
          <w:rFonts w:ascii="Arial" w:cs="Arial" w:eastAsia="Arial" w:hAnsi="Arial"/>
          <w:sz w:val="18"/>
          <w:szCs w:val="18"/>
          <w:b w:val="1"/>
          <w:bCs w:val="1"/>
          <w:color w:val="auto"/>
        </w:rPr>
        <w:t>HESS MIDSTREAM LP</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SUPPLEMENTAL OPERATING DATA (UNAUDITED)</w:t>
      </w: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40" w:type="dxa"/>
            <w:vAlign w:val="bottom"/>
          </w:tcPr>
          <w:p>
            <w:pPr>
              <w:jc w:val="center"/>
              <w:ind w:left="259"/>
              <w:spacing w:after="0"/>
              <w:rPr>
                <w:sz w:val="20"/>
                <w:szCs w:val="20"/>
                <w:color w:val="auto"/>
              </w:rPr>
            </w:pPr>
            <w:r>
              <w:rPr>
                <w:rFonts w:ascii="Arial" w:cs="Arial" w:eastAsia="Arial" w:hAnsi="Arial"/>
                <w:sz w:val="16"/>
                <w:szCs w:val="16"/>
                <w:b w:val="1"/>
                <w:bCs w:val="1"/>
                <w:color w:val="auto"/>
                <w:w w:val="97"/>
              </w:rPr>
              <w:t>First</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7"/>
              </w:rPr>
              <w:t>First</w:t>
            </w:r>
          </w:p>
        </w:tc>
        <w:tc>
          <w:tcPr>
            <w:tcW w:w="2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Fourth</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40" w:type="dxa"/>
            <w:vAlign w:val="bottom"/>
          </w:tcPr>
          <w:p>
            <w:pPr>
              <w:jc w:val="center"/>
              <w:ind w:left="259"/>
              <w:spacing w:after="0"/>
              <w:rPr>
                <w:sz w:val="20"/>
                <w:szCs w:val="20"/>
                <w:color w:val="auto"/>
              </w:rPr>
            </w:pPr>
            <w:r>
              <w:rPr>
                <w:rFonts w:ascii="Arial" w:cs="Arial" w:eastAsia="Arial" w:hAnsi="Arial"/>
                <w:sz w:val="16"/>
                <w:szCs w:val="16"/>
                <w:b w:val="1"/>
                <w:bCs w:val="1"/>
                <w:color w:val="auto"/>
              </w:rPr>
              <w:t>Quarter</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Quarter</w:t>
            </w:r>
          </w:p>
        </w:tc>
        <w:tc>
          <w:tcPr>
            <w:tcW w:w="2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Quarter</w:t>
            </w:r>
          </w:p>
        </w:tc>
        <w:tc>
          <w:tcPr>
            <w:tcW w:w="0" w:type="dxa"/>
            <w:vAlign w:val="bottom"/>
          </w:tcPr>
          <w:p>
            <w:pPr>
              <w:spacing w:after="0"/>
              <w:rPr>
                <w:sz w:val="1"/>
                <w:szCs w:val="1"/>
                <w:color w:val="auto"/>
              </w:rPr>
            </w:pPr>
          </w:p>
        </w:tc>
      </w:tr>
      <w:tr>
        <w:trPr>
          <w:trHeight w:val="203"/>
        </w:trPr>
        <w:tc>
          <w:tcPr>
            <w:tcW w:w="6600" w:type="dxa"/>
            <w:vAlign w:val="bottom"/>
            <w:gridSpan w:val="2"/>
          </w:tcPr>
          <w:p>
            <w:pPr>
              <w:spacing w:after="0"/>
              <w:rPr>
                <w:sz w:val="17"/>
                <w:szCs w:val="17"/>
                <w:color w:val="auto"/>
              </w:rPr>
            </w:pPr>
          </w:p>
        </w:tc>
        <w:tc>
          <w:tcPr>
            <w:tcW w:w="1040" w:type="dxa"/>
            <w:vAlign w:val="bottom"/>
            <w:tcBorders>
              <w:bottom w:val="single" w:sz="8" w:color="auto"/>
            </w:tcBorders>
          </w:tcPr>
          <w:p>
            <w:pPr>
              <w:jc w:val="center"/>
              <w:ind w:left="279"/>
              <w:spacing w:after="0"/>
              <w:rPr>
                <w:sz w:val="20"/>
                <w:szCs w:val="20"/>
                <w:color w:val="auto"/>
              </w:rPr>
            </w:pPr>
            <w:r>
              <w:rPr>
                <w:rFonts w:ascii="Arial" w:cs="Arial" w:eastAsia="Arial" w:hAnsi="Arial"/>
                <w:sz w:val="16"/>
                <w:szCs w:val="16"/>
                <w:b w:val="1"/>
                <w:bCs w:val="1"/>
                <w:color w:val="auto"/>
              </w:rPr>
              <w:t>2026</w:t>
            </w:r>
          </w:p>
        </w:tc>
        <w:tc>
          <w:tcPr>
            <w:tcW w:w="3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345"/>
        </w:trPr>
        <w:tc>
          <w:tcPr>
            <w:tcW w:w="7640" w:type="dxa"/>
            <w:vAlign w:val="bottom"/>
            <w:gridSpan w:val="3"/>
          </w:tcPr>
          <w:p>
            <w:pPr>
              <w:spacing w:after="0"/>
              <w:rPr>
                <w:sz w:val="20"/>
                <w:szCs w:val="20"/>
                <w:color w:val="auto"/>
              </w:rPr>
            </w:pPr>
            <w:r>
              <w:rPr>
                <w:rFonts w:ascii="Arial" w:cs="Arial" w:eastAsia="Arial" w:hAnsi="Arial"/>
                <w:sz w:val="16"/>
                <w:szCs w:val="16"/>
                <w:b w:val="1"/>
                <w:bCs w:val="1"/>
                <w:color w:val="auto"/>
              </w:rPr>
              <w:t>Throughput volumes</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438</w:t>
            </w:r>
          </w:p>
        </w:tc>
        <w:tc>
          <w:tcPr>
            <w:tcW w:w="1580" w:type="dxa"/>
            <w:vAlign w:val="bottom"/>
            <w:gridSpan w:val="2"/>
            <w:vMerge w:val="restart"/>
          </w:tcPr>
          <w:p>
            <w:pPr>
              <w:jc w:val="right"/>
              <w:spacing w:after="0"/>
              <w:rPr>
                <w:sz w:val="20"/>
                <w:szCs w:val="20"/>
                <w:color w:val="auto"/>
              </w:rPr>
            </w:pPr>
            <w:r>
              <w:rPr>
                <w:rFonts w:ascii="Arial" w:cs="Arial" w:eastAsia="Arial" w:hAnsi="Arial"/>
                <w:sz w:val="16"/>
                <w:szCs w:val="16"/>
                <w:color w:val="auto"/>
              </w:rPr>
              <w:t>431</w:t>
            </w:r>
          </w:p>
        </w:tc>
        <w:tc>
          <w:tcPr>
            <w:tcW w:w="1580" w:type="dxa"/>
            <w:vAlign w:val="bottom"/>
            <w:gridSpan w:val="2"/>
            <w:vMerge w:val="restart"/>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182"/>
        </w:trPr>
        <w:tc>
          <w:tcPr>
            <w:tcW w:w="1620" w:type="dxa"/>
            <w:vAlign w:val="bottom"/>
            <w:tcBorders>
              <w:top w:val="single" w:sz="8" w:color="auto"/>
            </w:tcBorders>
          </w:tcPr>
          <w:p>
            <w:pPr>
              <w:ind w:left="120"/>
              <w:spacing w:after="0" w:line="182" w:lineRule="exact"/>
              <w:rPr>
                <w:sz w:val="20"/>
                <w:szCs w:val="20"/>
                <w:color w:val="auto"/>
              </w:rPr>
            </w:pPr>
            <w:r>
              <w:rPr>
                <w:rFonts w:ascii="Arial" w:cs="Arial" w:eastAsia="Arial" w:hAnsi="Arial"/>
                <w:sz w:val="16"/>
                <w:szCs w:val="16"/>
                <w:color w:val="auto"/>
              </w:rPr>
              <w:t>Gas gathering - Mcf</w:t>
            </w:r>
          </w:p>
        </w:tc>
        <w:tc>
          <w:tcPr>
            <w:tcW w:w="6020" w:type="dxa"/>
            <w:vAlign w:val="bottom"/>
            <w:gridSpan w:val="2"/>
          </w:tcPr>
          <w:p>
            <w:pPr>
              <w:spacing w:after="0" w:line="182" w:lineRule="exact"/>
              <w:rPr>
                <w:sz w:val="20"/>
                <w:szCs w:val="20"/>
                <w:color w:val="auto"/>
              </w:rPr>
            </w:pPr>
            <w:r>
              <w:rPr>
                <w:rFonts w:ascii="Arial" w:cs="Arial" w:eastAsia="Arial" w:hAnsi="Arial"/>
                <w:sz w:val="16"/>
                <w:szCs w:val="16"/>
                <w:color w:val="auto"/>
              </w:rPr>
              <w:t>of natural gas per day</w:t>
            </w:r>
          </w:p>
        </w:tc>
        <w:tc>
          <w:tcPr>
            <w:tcW w:w="340" w:type="dxa"/>
            <w:vAlign w:val="bottom"/>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40" w:type="dxa"/>
            <w:vAlign w:val="bottom"/>
            <w:gridSpan w:val="3"/>
          </w:tcPr>
          <w:p>
            <w:pPr>
              <w:ind w:left="120"/>
              <w:spacing w:after="0"/>
              <w:rPr>
                <w:sz w:val="20"/>
                <w:szCs w:val="20"/>
                <w:color w:val="auto"/>
              </w:rPr>
            </w:pPr>
            <w:r>
              <w:rPr>
                <w:rFonts w:ascii="Arial" w:cs="Arial" w:eastAsia="Arial" w:hAnsi="Arial"/>
                <w:sz w:val="16"/>
                <w:szCs w:val="16"/>
                <w:color w:val="auto"/>
              </w:rPr>
              <w:t>Crude oil gathering - bopd</w:t>
            </w:r>
          </w:p>
        </w:tc>
        <w:tc>
          <w:tcPr>
            <w:tcW w:w="340" w:type="dxa"/>
            <w:vAlign w:val="bottom"/>
          </w:tcPr>
          <w:p>
            <w:pPr>
              <w:jc w:val="right"/>
              <w:spacing w:after="0"/>
              <w:rPr>
                <w:sz w:val="20"/>
                <w:szCs w:val="20"/>
                <w:color w:val="auto"/>
              </w:rPr>
            </w:pPr>
            <w:r>
              <w:rPr>
                <w:rFonts w:ascii="Arial" w:cs="Arial" w:eastAsia="Arial" w:hAnsi="Arial"/>
                <w:sz w:val="16"/>
                <w:szCs w:val="16"/>
                <w:color w:val="auto"/>
              </w:rPr>
              <w:t>110</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117</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189"/>
        </w:trPr>
        <w:tc>
          <w:tcPr>
            <w:tcW w:w="7640" w:type="dxa"/>
            <w:vAlign w:val="bottom"/>
            <w:gridSpan w:val="3"/>
          </w:tcPr>
          <w:p>
            <w:pPr>
              <w:ind w:left="120"/>
              <w:spacing w:after="0"/>
              <w:rPr>
                <w:sz w:val="20"/>
                <w:szCs w:val="20"/>
                <w:color w:val="auto"/>
              </w:rPr>
            </w:pPr>
            <w:r>
              <w:rPr>
                <w:rFonts w:ascii="Arial" w:cs="Arial" w:eastAsia="Arial" w:hAnsi="Arial"/>
                <w:sz w:val="16"/>
                <w:szCs w:val="16"/>
                <w:color w:val="auto"/>
              </w:rPr>
              <w:t>Gas processing - Mcf of natural gas per day</w:t>
            </w:r>
          </w:p>
        </w:tc>
        <w:tc>
          <w:tcPr>
            <w:tcW w:w="340" w:type="dxa"/>
            <w:vAlign w:val="bottom"/>
          </w:tcPr>
          <w:p>
            <w:pPr>
              <w:jc w:val="right"/>
              <w:spacing w:after="0"/>
              <w:rPr>
                <w:sz w:val="20"/>
                <w:szCs w:val="20"/>
                <w:color w:val="auto"/>
              </w:rPr>
            </w:pPr>
            <w:r>
              <w:rPr>
                <w:rFonts w:ascii="Arial" w:cs="Arial" w:eastAsia="Arial" w:hAnsi="Arial"/>
                <w:sz w:val="16"/>
                <w:szCs w:val="16"/>
                <w:color w:val="auto"/>
              </w:rPr>
              <w:t>430</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424</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189"/>
        </w:trPr>
        <w:tc>
          <w:tcPr>
            <w:tcW w:w="7640" w:type="dxa"/>
            <w:vAlign w:val="bottom"/>
            <w:gridSpan w:val="3"/>
          </w:tcPr>
          <w:p>
            <w:pPr>
              <w:ind w:left="120"/>
              <w:spacing w:after="0"/>
              <w:rPr>
                <w:sz w:val="20"/>
                <w:szCs w:val="20"/>
                <w:color w:val="auto"/>
              </w:rPr>
            </w:pPr>
            <w:r>
              <w:rPr>
                <w:rFonts w:ascii="Arial" w:cs="Arial" w:eastAsia="Arial" w:hAnsi="Arial"/>
                <w:sz w:val="16"/>
                <w:szCs w:val="16"/>
                <w:color w:val="auto"/>
              </w:rPr>
              <w:t>Crude terminals - bopd</w:t>
            </w:r>
          </w:p>
        </w:tc>
        <w:tc>
          <w:tcPr>
            <w:tcW w:w="340" w:type="dxa"/>
            <w:vAlign w:val="bottom"/>
          </w:tcPr>
          <w:p>
            <w:pPr>
              <w:jc w:val="right"/>
              <w:spacing w:after="0"/>
              <w:rPr>
                <w:sz w:val="20"/>
                <w:szCs w:val="20"/>
                <w:color w:val="auto"/>
              </w:rPr>
            </w:pPr>
            <w:r>
              <w:rPr>
                <w:rFonts w:ascii="Arial" w:cs="Arial" w:eastAsia="Arial" w:hAnsi="Arial"/>
                <w:sz w:val="16"/>
                <w:szCs w:val="16"/>
                <w:color w:val="auto"/>
              </w:rPr>
              <w:t>119</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125</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89"/>
        </w:trPr>
        <w:tc>
          <w:tcPr>
            <w:tcW w:w="7640" w:type="dxa"/>
            <w:vAlign w:val="bottom"/>
            <w:gridSpan w:val="3"/>
          </w:tcPr>
          <w:p>
            <w:pPr>
              <w:ind w:left="120"/>
              <w:spacing w:after="0"/>
              <w:rPr>
                <w:sz w:val="20"/>
                <w:szCs w:val="20"/>
                <w:color w:val="auto"/>
              </w:rPr>
            </w:pPr>
            <w:r>
              <w:rPr>
                <w:rFonts w:ascii="Arial" w:cs="Arial" w:eastAsia="Arial" w:hAnsi="Arial"/>
                <w:sz w:val="16"/>
                <w:szCs w:val="16"/>
                <w:color w:val="auto"/>
              </w:rPr>
              <w:t>NGL loading - blpd</w:t>
            </w:r>
          </w:p>
        </w:tc>
        <w:tc>
          <w:tcPr>
            <w:tcW w:w="340" w:type="dxa"/>
            <w:vAlign w:val="bottom"/>
          </w:tcPr>
          <w:p>
            <w:pPr>
              <w:jc w:val="right"/>
              <w:spacing w:after="0"/>
              <w:rPr>
                <w:sz w:val="20"/>
                <w:szCs w:val="20"/>
                <w:color w:val="auto"/>
              </w:rPr>
            </w:pPr>
            <w:r>
              <w:rPr>
                <w:rFonts w:ascii="Arial" w:cs="Arial" w:eastAsia="Arial" w:hAnsi="Arial"/>
                <w:sz w:val="16"/>
                <w:szCs w:val="16"/>
                <w:color w:val="auto"/>
              </w:rPr>
              <w:t>15</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5"/>
        </w:trPr>
        <w:tc>
          <w:tcPr>
            <w:tcW w:w="7640" w:type="dxa"/>
            <w:vAlign w:val="bottom"/>
            <w:gridSpan w:val="3"/>
          </w:tcPr>
          <w:p>
            <w:pPr>
              <w:ind w:left="120"/>
              <w:spacing w:after="0"/>
              <w:rPr>
                <w:sz w:val="20"/>
                <w:szCs w:val="20"/>
                <w:color w:val="auto"/>
              </w:rPr>
            </w:pPr>
            <w:r>
              <w:rPr>
                <w:rFonts w:ascii="Arial" w:cs="Arial" w:eastAsia="Arial" w:hAnsi="Arial"/>
                <w:sz w:val="16"/>
                <w:szCs w:val="16"/>
                <w:color w:val="auto"/>
              </w:rPr>
              <w:t>Water gathering - blpd</w:t>
            </w:r>
          </w:p>
        </w:tc>
        <w:tc>
          <w:tcPr>
            <w:tcW w:w="340" w:type="dxa"/>
            <w:vAlign w:val="bottom"/>
          </w:tcPr>
          <w:p>
            <w:pPr>
              <w:jc w:val="right"/>
              <w:spacing w:after="0"/>
              <w:rPr>
                <w:sz w:val="20"/>
                <w:szCs w:val="20"/>
                <w:color w:val="auto"/>
              </w:rPr>
            </w:pPr>
            <w:r>
              <w:rPr>
                <w:rFonts w:ascii="Arial" w:cs="Arial" w:eastAsia="Arial" w:hAnsi="Arial"/>
                <w:sz w:val="16"/>
                <w:szCs w:val="16"/>
                <w:color w:val="auto"/>
              </w:rPr>
              <w:t>115</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126</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497840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5" w:right="439" w:bottom="144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0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2026-05-04T07:03:48Z</dcterms:created>
  <dcterms:modified xsi:type="dcterms:W3CDTF">2026-05-04T07:03:48Z</dcterms:modified>
</cp:coreProperties>
</file>