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38" w:lineRule="exact"/>
        <w:rPr>
          <w:sz w:val="24"/>
          <w:szCs w:val="24"/>
          <w:color w:val="auto"/>
        </w:rPr>
      </w:pPr>
    </w:p>
    <w:p>
      <w:pPr>
        <w:ind w:left="360" w:right="4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-232410</wp:posOffset>
            </wp:positionV>
            <wp:extent cx="125730" cy="1257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5730" cy="125730"/>
                    </a:xfrm>
                    <a:prstGeom prst="rect">
                      <a:avLst/>
                    </a:prstGeom>
                    <a:noFill/>
                  </pic:spPr>
                </pic:pic>
              </a:graphicData>
            </a:graphic>
          </wp:anchor>
        </w:drawing>
      </w:r>
    </w:p>
    <w:p>
      <w:pPr>
        <w:spacing w:after="0" w:line="220"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-675005</wp:posOffset>
            </wp:positionV>
            <wp:extent cx="125730" cy="1257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5730" cy="12573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9"/>
        </w:trPr>
        <w:tc>
          <w:tcPr>
            <w:tcW w:w="6340" w:type="dxa"/>
            <w:vAlign w:val="bottom"/>
          </w:tcPr>
          <w:p>
            <w:pPr>
              <w:jc w:val="center"/>
              <w:ind w:right="94"/>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40" w:type="dxa"/>
            <w:vAlign w:val="bottom"/>
            <w:vMerge w:val="restart"/>
          </w:tcPr>
          <w:p>
            <w:pPr>
              <w:jc w:val="center"/>
              <w:ind w:right="94"/>
              <w:spacing w:after="0" w:line="14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1"/>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94"/>
              <w:spacing w:after="0"/>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3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6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6340" w:type="dxa"/>
            <w:vAlign w:val="bottom"/>
            <w:vMerge w:val="restart"/>
          </w:tcPr>
          <w:p>
            <w:pPr>
              <w:jc w:val="center"/>
              <w:ind w:right="9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5288915</wp:posOffset>
            </wp:positionH>
            <wp:positionV relativeFrom="paragraph">
              <wp:posOffset>-639445</wp:posOffset>
            </wp:positionV>
            <wp:extent cx="59055" cy="6527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2780"/>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-639445</wp:posOffset>
            </wp:positionV>
            <wp:extent cx="59055" cy="6527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278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-1609090</wp:posOffset>
            </wp:positionH>
            <wp:positionV relativeFrom="paragraph">
              <wp:posOffset>762000</wp:posOffset>
            </wp:positionV>
            <wp:extent cx="6990715" cy="51346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0715" cy="5134610"/>
                    </a:xfrm>
                    <a:prstGeom prst="rect">
                      <a:avLst/>
                    </a:prstGeom>
                    <a:noFill/>
                  </pic:spPr>
                </pic:pic>
              </a:graphicData>
            </a:graphic>
          </wp:anchor>
        </w:drawing>
      </w:r>
    </w:p>
    <w:p>
      <w:pPr>
        <w:spacing w:after="0" w:line="1277" w:lineRule="exact"/>
        <w:rPr>
          <w:sz w:val="24"/>
          <w:szCs w:val="24"/>
          <w:color w:val="auto"/>
        </w:rPr>
      </w:pPr>
    </w:p>
    <w:p>
      <w:pPr>
        <w:sectPr>
          <w:pgSz w:w="11900" w:h="16838" w:orient="portrait"/>
          <w:cols w:equalWidth="0" w:num="2">
            <w:col w:w="2340" w:space="180"/>
            <w:col w:w="856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Stein Jonathan C.</w:t>
        </w:r>
      </w:hyperlink>
    </w:p>
    <w:p>
      <w:pPr>
        <w:spacing w:after="0" w:line="30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1400 SMITH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Hess Midstream LP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HESM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03/08/2026</w:t>
      </w:r>
    </w:p>
    <w:p>
      <w:pPr>
        <w:spacing w:after="0" w:line="20" w:lineRule="exact"/>
        <w:rPr>
          <w:sz w:val="24"/>
          <w:szCs w:val="24"/>
          <w:color w:val="auto"/>
        </w:rPr>
      </w:pPr>
      <w:r>
        <w:rPr>
          <w:sz w:val="24"/>
          <w:szCs w:val="24"/>
          <w:color w:val="auto"/>
        </w:rPr>
        <w:br w:type="column"/>
      </w:r>
    </w:p>
    <w:p>
      <w:pPr>
        <w:ind w:left="-2" w:right="580" w:firstLine="2"/>
        <w:spacing w:after="0" w:line="264" w:lineRule="auto"/>
        <w:tabs>
          <w:tab w:leader="none" w:pos="14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18"/>
        <w:spacing w:after="0"/>
        <w:tabs>
          <w:tab w:leader="none" w:pos="2078"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8"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7" w:lineRule="exact"/>
        <w:rPr>
          <w:sz w:val="24"/>
          <w:szCs w:val="24"/>
          <w:color w:val="auto"/>
        </w:rPr>
      </w:pPr>
    </w:p>
    <w:p>
      <w:pPr>
        <w:ind w:left="518"/>
        <w:spacing w:after="0"/>
        <w:tabs>
          <w:tab w:leader="none" w:pos="2078"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6" w:lineRule="exact"/>
        <w:rPr>
          <w:sz w:val="24"/>
          <w:szCs w:val="24"/>
          <w:color w:val="auto"/>
        </w:rPr>
      </w:pPr>
    </w:p>
    <w:p>
      <w:pPr>
        <w:ind w:left="758"/>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326" w:lineRule="exact"/>
        <w:rPr>
          <w:sz w:val="24"/>
          <w:szCs w:val="24"/>
          <w:color w:val="auto"/>
        </w:rPr>
      </w:pPr>
    </w:p>
    <w:p>
      <w:pPr>
        <w:sectPr>
          <w:pgSz w:w="11900" w:h="16838" w:orient="portrait"/>
          <w:cols w:equalWidth="0" w:num="3">
            <w:col w:w="3180" w:space="720"/>
            <w:col w:w="3102" w:space="720"/>
            <w:col w:w="3358"/>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580" w:type="dxa"/>
            <w:vAlign w:val="bottom"/>
            <w:tcBorders>
              <w:bottom w:val="single" w:sz="8" w:color="9A9A9A"/>
            </w:tcBorders>
          </w:tcPr>
          <w:p>
            <w:pPr>
              <w:spacing w:after="0"/>
              <w:rPr>
                <w:sz w:val="3"/>
                <w:szCs w:val="3"/>
                <w:color w:val="auto"/>
              </w:rPr>
            </w:pPr>
          </w:p>
        </w:tc>
        <w:tc>
          <w:tcPr>
            <w:tcW w:w="280" w:type="dxa"/>
            <w:vAlign w:val="bottom"/>
            <w:tcBorders>
              <w:bottom w:val="single" w:sz="8" w:color="9A9A9A"/>
            </w:tcBorders>
          </w:tcPr>
          <w:p>
            <w:pPr>
              <w:spacing w:after="0"/>
              <w:rPr>
                <w:sz w:val="3"/>
                <w:szCs w:val="3"/>
                <w:color w:val="auto"/>
              </w:rPr>
            </w:pPr>
          </w:p>
        </w:tc>
        <w:tc>
          <w:tcPr>
            <w:tcW w:w="980" w:type="dxa"/>
            <w:vAlign w:val="bottom"/>
            <w:tcBorders>
              <w:bottom w:val="single" w:sz="8" w:color="9A9A9A"/>
            </w:tcBorders>
          </w:tcPr>
          <w:p>
            <w:pPr>
              <w:spacing w:after="0"/>
              <w:rPr>
                <w:sz w:val="3"/>
                <w:szCs w:val="3"/>
                <w:color w:val="auto"/>
              </w:rPr>
            </w:pPr>
          </w:p>
        </w:tc>
        <w:tc>
          <w:tcPr>
            <w:tcW w:w="1180" w:type="dxa"/>
            <w:vAlign w:val="bottom"/>
            <w:tcBorders>
              <w:bottom w:val="single" w:sz="8" w:color="9A9A9A"/>
            </w:tcBorders>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3620" w:type="dxa"/>
            <w:vAlign w:val="bottom"/>
            <w:gridSpan w:val="7"/>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00" w:type="dxa"/>
            <w:vAlign w:val="bottom"/>
            <w:gridSpan w:val="10"/>
            <w:vMerge w:val="restart"/>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20" w:type="dxa"/>
            <w:vAlign w:val="bottom"/>
            <w:gridSpan w:val="7"/>
            <w:vMerge w:val="continue"/>
          </w:tcPr>
          <w:p>
            <w:pPr>
              <w:spacing w:after="0"/>
              <w:rPr>
                <w:sz w:val="8"/>
                <w:szCs w:val="8"/>
                <w:color w:val="auto"/>
              </w:rPr>
            </w:pPr>
          </w:p>
        </w:tc>
        <w:tc>
          <w:tcPr>
            <w:tcW w:w="370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40" w:type="dxa"/>
            <w:vAlign w:val="bottom"/>
            <w:gridSpan w:val="3"/>
          </w:tcPr>
          <w:p>
            <w:pPr>
              <w:ind w:left="34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HOUSTON</w:t>
            </w:r>
          </w:p>
        </w:tc>
        <w:tc>
          <w:tcPr>
            <w:tcW w:w="28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6"/>
              </w:rPr>
              <w:t>TX</w:t>
            </w:r>
          </w:p>
        </w:tc>
        <w:tc>
          <w:tcPr>
            <w:tcW w:w="98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77002</w:t>
            </w: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960" w:type="dxa"/>
            <w:vAlign w:val="bottom"/>
            <w:gridSpan w:val="7"/>
          </w:tcPr>
          <w:p>
            <w:pPr>
              <w:ind w:left="140"/>
              <w:spacing w:after="0" w:line="139"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15"/>
                <w:szCs w:val="15"/>
                <w:color w:val="auto"/>
              </w:rPr>
            </w:pPr>
          </w:p>
        </w:tc>
        <w:tc>
          <w:tcPr>
            <w:tcW w:w="126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(Zip)</w:t>
            </w: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ind w:left="140"/>
              <w:spacing w:after="0"/>
              <w:rPr>
                <w:sz w:val="20"/>
                <w:szCs w:val="20"/>
                <w:color w:val="auto"/>
              </w:rPr>
            </w:pPr>
            <w:r>
              <w:rPr>
                <w:rFonts w:ascii="Arial" w:cs="Arial" w:eastAsia="Arial" w:hAnsi="Arial"/>
                <w:sz w:val="13"/>
                <w:szCs w:val="13"/>
                <w:color w:val="auto"/>
                <w:w w:val="97"/>
              </w:rPr>
              <w:t>Person</w:t>
            </w: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58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1660" w:type="dxa"/>
            <w:vAlign w:val="bottom"/>
            <w:tcBorders>
              <w:bottom w:val="single" w:sz="8" w:color="2C2C2C"/>
            </w:tcBorders>
            <w:gridSpan w:val="5"/>
          </w:tcPr>
          <w:p>
            <w:pPr>
              <w:spacing w:after="0"/>
              <w:rPr>
                <w:sz w:val="10"/>
                <w:szCs w:val="10"/>
                <w:color w:val="auto"/>
              </w:rPr>
            </w:pPr>
          </w:p>
        </w:tc>
        <w:tc>
          <w:tcPr>
            <w:tcW w:w="2500" w:type="dxa"/>
            <w:vAlign w:val="bottom"/>
            <w:tcBorders>
              <w:bottom w:val="single" w:sz="8" w:color="2C2C2C"/>
            </w:tcBorders>
            <w:gridSpan w:val="4"/>
          </w:tcPr>
          <w:p>
            <w:pPr>
              <w:spacing w:after="0"/>
              <w:rPr>
                <w:sz w:val="10"/>
                <w:szCs w:val="10"/>
                <w:color w:val="auto"/>
              </w:rPr>
            </w:pPr>
          </w:p>
        </w:tc>
        <w:tc>
          <w:tcPr>
            <w:tcW w:w="1380" w:type="dxa"/>
            <w:vAlign w:val="bottom"/>
            <w:tcBorders>
              <w:bottom w:val="single" w:sz="8" w:color="2C2C2C"/>
            </w:tcBorders>
            <w:gridSpan w:val="4"/>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1"/>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0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40" w:type="dxa"/>
            <w:vAlign w:val="bottom"/>
            <w:tcBorders>
              <w:bottom w:val="single" w:sz="8" w:color="2C2C2C"/>
            </w:tcBorders>
            <w:gridSpan w:val="5"/>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4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68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gridSpan w:val="2"/>
          </w:tcPr>
          <w:p>
            <w:pPr>
              <w:ind w:left="680"/>
              <w:spacing w:after="0" w:line="131"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6"/>
              </w:rPr>
              <w:t>Transaction</w:t>
            </w:r>
          </w:p>
        </w:tc>
        <w:tc>
          <w:tcPr>
            <w:tcW w:w="1840" w:type="dxa"/>
            <w:vAlign w:val="bottom"/>
            <w:gridSpan w:val="4"/>
          </w:tcPr>
          <w:p>
            <w:pPr>
              <w:ind w:left="100"/>
              <w:spacing w:after="0" w:line="131" w:lineRule="exact"/>
              <w:rPr>
                <w:sz w:val="20"/>
                <w:szCs w:val="20"/>
                <w:color w:val="auto"/>
              </w:rPr>
            </w:pPr>
            <w:r>
              <w:rPr>
                <w:rFonts w:ascii="Arial" w:cs="Arial" w:eastAsia="Arial" w:hAnsi="Arial"/>
                <w:sz w:val="12"/>
                <w:szCs w:val="12"/>
                <w:b w:val="1"/>
                <w:bCs w:val="1"/>
                <w:color w:val="auto"/>
                <w:w w:val="98"/>
              </w:rPr>
              <w:t>Disposed Of (D) (Instr. 3, 4 and</w:t>
            </w:r>
          </w:p>
        </w:tc>
        <w:tc>
          <w:tcPr>
            <w:tcW w:w="140" w:type="dxa"/>
            <w:vAlign w:val="bottom"/>
          </w:tcPr>
          <w:p>
            <w:pPr>
              <w:spacing w:after="0"/>
              <w:rPr>
                <w:sz w:val="11"/>
                <w:szCs w:val="11"/>
                <w:color w:val="auto"/>
              </w:rPr>
            </w:pPr>
          </w:p>
        </w:tc>
        <w:tc>
          <w:tcPr>
            <w:tcW w:w="11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780" w:type="dxa"/>
            <w:vAlign w:val="bottom"/>
            <w:gridSpan w:val="3"/>
          </w:tcPr>
          <w:p>
            <w:pPr>
              <w:ind w:left="680"/>
              <w:spacing w:after="0" w:line="132"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7"/>
              </w:rPr>
              <w:t>(Month/Day/Year)</w:t>
            </w:r>
          </w:p>
        </w:tc>
        <w:tc>
          <w:tcPr>
            <w:tcW w:w="80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20" w:type="dxa"/>
            <w:vAlign w:val="bottom"/>
            <w:gridSpan w:val="3"/>
            <w:vMerge w:val="restart"/>
          </w:tcPr>
          <w:p>
            <w:pPr>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220"/>
              <w:spacing w:after="0" w:line="132" w:lineRule="exact"/>
              <w:rPr>
                <w:sz w:val="20"/>
                <w:szCs w:val="20"/>
                <w:color w:val="auto"/>
              </w:rPr>
            </w:pPr>
            <w:r>
              <w:rPr>
                <w:rFonts w:ascii="Arial" w:cs="Arial" w:eastAsia="Arial" w:hAnsi="Arial"/>
                <w:sz w:val="12"/>
                <w:szCs w:val="12"/>
                <w:b w:val="1"/>
                <w:bCs w:val="1"/>
                <w:color w:val="auto"/>
                <w:w w:val="93"/>
              </w:rPr>
              <w:t>(A) or</w:t>
            </w:r>
          </w:p>
        </w:tc>
        <w:tc>
          <w:tcPr>
            <w:tcW w:w="60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40" w:type="dxa"/>
            <w:vAlign w:val="bottom"/>
            <w:vMerge w:val="restart"/>
          </w:tcPr>
          <w:p>
            <w:pPr>
              <w:jc w:val="right"/>
              <w:ind w:right="96"/>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Shares</w:t>
            </w:r>
          </w:p>
        </w:tc>
        <w:tc>
          <w:tcPr>
            <w:tcW w:w="2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780"/>
              <w:spacing w:after="0"/>
              <w:rPr>
                <w:sz w:val="20"/>
                <w:szCs w:val="20"/>
                <w:color w:val="auto"/>
              </w:rPr>
            </w:pPr>
            <w:r>
              <w:rPr>
                <w:rFonts w:ascii="Times New Roman" w:cs="Times New Roman" w:eastAsia="Times New Roman" w:hAnsi="Times New Roman"/>
                <w:sz w:val="17"/>
                <w:szCs w:val="17"/>
                <w:color w:val="0000FF"/>
              </w:rPr>
              <w:t>03/08/2026</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3"/>
              <w:spacing w:after="0"/>
              <w:rPr>
                <w:sz w:val="20"/>
                <w:szCs w:val="20"/>
                <w:color w:val="auto"/>
              </w:rPr>
            </w:pPr>
            <w:r>
              <w:rPr>
                <w:rFonts w:ascii="Times New Roman" w:cs="Times New Roman" w:eastAsia="Times New Roman" w:hAnsi="Times New Roman"/>
                <w:sz w:val="26"/>
                <w:szCs w:val="26"/>
                <w:color w:val="0000FF"/>
                <w:w w:val="84"/>
                <w:vertAlign w:val="subscript"/>
              </w:rPr>
              <w:t>M</w:t>
            </w:r>
            <w:r>
              <w:rPr>
                <w:rFonts w:ascii="Times New Roman" w:cs="Times New Roman" w:eastAsia="Times New Roman" w:hAnsi="Times New Roman"/>
                <w:sz w:val="11"/>
                <w:szCs w:val="11"/>
                <w:color w:val="008000"/>
                <w:w w:val="84"/>
              </w:rPr>
              <w:t>(1)</w:t>
            </w:r>
          </w:p>
        </w:tc>
        <w:tc>
          <w:tcPr>
            <w:tcW w:w="7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2,066</w:t>
            </w:r>
          </w:p>
        </w:tc>
        <w:tc>
          <w:tcPr>
            <w:tcW w:w="5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62,011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Shares</w:t>
            </w:r>
          </w:p>
        </w:tc>
        <w:tc>
          <w:tcPr>
            <w:tcW w:w="2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780"/>
              <w:spacing w:after="0"/>
              <w:rPr>
                <w:sz w:val="20"/>
                <w:szCs w:val="20"/>
                <w:color w:val="auto"/>
              </w:rPr>
            </w:pPr>
            <w:r>
              <w:rPr>
                <w:rFonts w:ascii="Times New Roman" w:cs="Times New Roman" w:eastAsia="Times New Roman" w:hAnsi="Times New Roman"/>
                <w:sz w:val="17"/>
                <w:szCs w:val="17"/>
                <w:color w:val="0000FF"/>
              </w:rPr>
              <w:t>03/08/2026</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3"/>
              <w:spacing w:after="0"/>
              <w:rPr>
                <w:sz w:val="20"/>
                <w:szCs w:val="20"/>
                <w:color w:val="auto"/>
              </w:rPr>
            </w:pPr>
            <w:r>
              <w:rPr>
                <w:rFonts w:ascii="Times New Roman" w:cs="Times New Roman" w:eastAsia="Times New Roman" w:hAnsi="Times New Roman"/>
                <w:sz w:val="26"/>
                <w:szCs w:val="26"/>
                <w:color w:val="0000FF"/>
                <w:w w:val="88"/>
                <w:vertAlign w:val="subscript"/>
              </w:rPr>
              <w:t>F</w:t>
            </w:r>
            <w:r>
              <w:rPr>
                <w:rFonts w:ascii="Times New Roman" w:cs="Times New Roman" w:eastAsia="Times New Roman" w:hAnsi="Times New Roman"/>
                <w:sz w:val="11"/>
                <w:szCs w:val="11"/>
                <w:color w:val="008000"/>
                <w:w w:val="88"/>
              </w:rPr>
              <w:t>(2)</w:t>
            </w:r>
          </w:p>
        </w:tc>
        <w:tc>
          <w:tcPr>
            <w:tcW w:w="7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1,048</w:t>
            </w:r>
          </w:p>
        </w:tc>
        <w:tc>
          <w:tcPr>
            <w:tcW w:w="5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gridSpan w:val="3"/>
          </w:tcPr>
          <w:p>
            <w:pPr>
              <w:jc w:val="center"/>
              <w:ind w:right="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38.92</w:t>
            </w:r>
          </w:p>
        </w:tc>
        <w:tc>
          <w:tcPr>
            <w:tcW w:w="116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60,963</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1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420" w:type="dxa"/>
            <w:vAlign w:val="bottom"/>
            <w:gridSpan w:val="11"/>
          </w:tcPr>
          <w:p>
            <w:pPr>
              <w:ind w:left="6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spacing w:after="0" w:line="132"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2"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spacing w:after="0" w:line="132"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2"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line="132"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Security (Instr. 3</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line="132"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and 4)</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line="132"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line="132"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60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5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720" w:type="dxa"/>
            <w:vAlign w:val="bottom"/>
            <w:gridSpan w:val="3"/>
          </w:tcPr>
          <w:p>
            <w:pPr>
              <w:ind w:left="80"/>
              <w:spacing w:after="0"/>
              <w:rPr>
                <w:sz w:val="20"/>
                <w:szCs w:val="20"/>
                <w:color w:val="auto"/>
              </w:rPr>
            </w:pPr>
            <w:r>
              <w:rPr>
                <w:rFonts w:ascii="Times New Roman" w:cs="Times New Roman" w:eastAsia="Times New Roman" w:hAnsi="Times New Roman"/>
                <w:sz w:val="13"/>
                <w:szCs w:val="13"/>
                <w:color w:val="0000FF"/>
              </w:rPr>
              <w:t>2025</w:t>
            </w: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(3)</w:t>
            </w:r>
          </w:p>
        </w:tc>
        <w:tc>
          <w:tcPr>
            <w:tcW w:w="5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0000FF"/>
              </w:rPr>
              <w:t>Class</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2,066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gridSpan w:val="2"/>
          </w:tcPr>
          <w:p>
            <w:pPr>
              <w:ind w:left="60"/>
              <w:spacing w:after="0" w:line="145" w:lineRule="exact"/>
              <w:rPr>
                <w:sz w:val="20"/>
                <w:szCs w:val="20"/>
                <w:color w:val="auto"/>
              </w:rPr>
            </w:pPr>
            <w:r>
              <w:rPr>
                <w:rFonts w:ascii="Times New Roman" w:cs="Times New Roman" w:eastAsia="Times New Roman" w:hAnsi="Times New Roman"/>
                <w:sz w:val="13"/>
                <w:szCs w:val="13"/>
                <w:color w:val="0000FF"/>
              </w:rPr>
              <w:t>Phantom</w:t>
            </w:r>
          </w:p>
        </w:tc>
        <w:tc>
          <w:tcPr>
            <w:tcW w:w="580" w:type="dxa"/>
            <w:vAlign w:val="bottom"/>
          </w:tcPr>
          <w:p>
            <w:pPr>
              <w:ind w:left="340"/>
              <w:spacing w:after="0" w:line="145"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980" w:type="dxa"/>
            <w:vAlign w:val="bottom"/>
          </w:tcPr>
          <w:p>
            <w:pPr>
              <w:ind w:left="200"/>
              <w:spacing w:after="0" w:line="145" w:lineRule="exact"/>
              <w:rPr>
                <w:sz w:val="20"/>
                <w:szCs w:val="20"/>
                <w:color w:val="auto"/>
              </w:rPr>
            </w:pPr>
            <w:r>
              <w:rPr>
                <w:rFonts w:ascii="Times New Roman" w:cs="Times New Roman" w:eastAsia="Times New Roman" w:hAnsi="Times New Roman"/>
                <w:sz w:val="13"/>
                <w:szCs w:val="13"/>
                <w:color w:val="0000FF"/>
              </w:rPr>
              <w:t>03/08/2026</w:t>
            </w:r>
          </w:p>
        </w:tc>
        <w:tc>
          <w:tcPr>
            <w:tcW w:w="1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ind w:left="140"/>
              <w:spacing w:after="0" w:line="145" w:lineRule="exact"/>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12"/>
                <w:szCs w:val="12"/>
                <w:color w:val="auto"/>
              </w:rPr>
            </w:pPr>
          </w:p>
        </w:tc>
        <w:tc>
          <w:tcPr>
            <w:tcW w:w="800" w:type="dxa"/>
            <w:vAlign w:val="bottom"/>
          </w:tcPr>
          <w:p>
            <w:pPr>
              <w:ind w:left="400"/>
              <w:spacing w:after="0" w:line="145" w:lineRule="exact"/>
              <w:rPr>
                <w:sz w:val="20"/>
                <w:szCs w:val="20"/>
                <w:color w:val="auto"/>
              </w:rPr>
            </w:pPr>
            <w:r>
              <w:rPr>
                <w:rFonts w:ascii="Times New Roman" w:cs="Times New Roman" w:eastAsia="Times New Roman" w:hAnsi="Times New Roman"/>
                <w:sz w:val="13"/>
                <w:szCs w:val="13"/>
                <w:color w:val="0000FF"/>
              </w:rPr>
              <w:t>2,066</w:t>
            </w:r>
          </w:p>
        </w:tc>
        <w:tc>
          <w:tcPr>
            <w:tcW w:w="80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540" w:type="dxa"/>
            <w:vAlign w:val="bottom"/>
          </w:tcPr>
          <w:p>
            <w:pPr>
              <w:ind w:left="180"/>
              <w:spacing w:after="0" w:line="145" w:lineRule="exact"/>
              <w:rPr>
                <w:sz w:val="20"/>
                <w:szCs w:val="20"/>
                <w:color w:val="auto"/>
              </w:rPr>
            </w:pPr>
            <w:r>
              <w:rPr>
                <w:rFonts w:ascii="Times New Roman" w:cs="Times New Roman" w:eastAsia="Times New Roman" w:hAnsi="Times New Roman"/>
                <w:sz w:val="13"/>
                <w:szCs w:val="13"/>
                <w:color w:val="0000FF"/>
              </w:rPr>
              <w:t>A</w:t>
            </w:r>
          </w:p>
        </w:tc>
        <w:tc>
          <w:tcPr>
            <w:tcW w:w="5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ind w:left="80"/>
              <w:spacing w:after="0" w:line="145"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tcPr>
          <w:p>
            <w:pPr>
              <w:ind w:left="260"/>
              <w:spacing w:after="0" w:line="145" w:lineRule="exact"/>
              <w:rPr>
                <w:sz w:val="20"/>
                <w:szCs w:val="20"/>
                <w:color w:val="auto"/>
              </w:rPr>
            </w:pPr>
            <w:r>
              <w:rPr>
                <w:rFonts w:ascii="Times New Roman" w:cs="Times New Roman" w:eastAsia="Times New Roman" w:hAnsi="Times New Roman"/>
                <w:sz w:val="13"/>
                <w:szCs w:val="13"/>
                <w:color w:val="0000FF"/>
              </w:rPr>
              <w:t>4,133</w:t>
            </w:r>
          </w:p>
        </w:tc>
        <w:tc>
          <w:tcPr>
            <w:tcW w:w="280" w:type="dxa"/>
            <w:vAlign w:val="bottom"/>
          </w:tcPr>
          <w:p>
            <w:pPr>
              <w:spacing w:after="0"/>
              <w:rPr>
                <w:sz w:val="12"/>
                <w:szCs w:val="12"/>
                <w:color w:val="auto"/>
              </w:rPr>
            </w:pPr>
          </w:p>
        </w:tc>
        <w:tc>
          <w:tcPr>
            <w:tcW w:w="700" w:type="dxa"/>
            <w:vAlign w:val="bottom"/>
          </w:tcPr>
          <w:p>
            <w:pPr>
              <w:ind w:left="340"/>
              <w:spacing w:after="0" w:line="145"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Shares</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-2136140</wp:posOffset>
            </wp:positionV>
            <wp:extent cx="29210" cy="2141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4122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4"/>
          <w:szCs w:val="24"/>
          <w:color w:val="auto"/>
        </w:rPr>
      </w:pPr>
    </w:p>
    <w:p>
      <w:pPr>
        <w:ind w:left="180" w:hanging="135"/>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Class A shares acquired upon settlement of phantom shares granted under Hess Midstream's 2017 Long Term Incentive Plan.</w:t>
      </w:r>
    </w:p>
    <w:p>
      <w:pPr>
        <w:spacing w:after="0" w:line="48" w:lineRule="exact"/>
        <w:rPr>
          <w:rFonts w:ascii="Times New Roman" w:cs="Times New Roman" w:eastAsia="Times New Roman" w:hAnsi="Times New Roman"/>
          <w:sz w:val="13"/>
          <w:szCs w:val="13"/>
          <w:color w:val="008000"/>
        </w:rPr>
      </w:pPr>
    </w:p>
    <w:p>
      <w:pPr>
        <w:ind w:left="180" w:hanging="135"/>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to cover required tax obligations upon settlement of phantom shares.</w:t>
      </w:r>
    </w:p>
    <w:p>
      <w:pPr>
        <w:spacing w:after="0" w:line="48" w:lineRule="exact"/>
        <w:rPr>
          <w:rFonts w:ascii="Times New Roman" w:cs="Times New Roman" w:eastAsia="Times New Roman" w:hAnsi="Times New Roman"/>
          <w:sz w:val="13"/>
          <w:szCs w:val="13"/>
          <w:color w:val="008000"/>
        </w:rPr>
      </w:pPr>
    </w:p>
    <w:p>
      <w:pPr>
        <w:ind w:left="180" w:hanging="135"/>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remaining 2025 phantom shares vest ratably on March 8, 2027 and March 8, 2028 and have no expiration date.</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List: Exhibit 24 - Power of Attorney</w:t>
      </w:r>
    </w:p>
    <w:p>
      <w:pPr>
        <w:ind w:left="6580"/>
        <w:spacing w:after="0" w:line="186" w:lineRule="auto"/>
        <w:rPr>
          <w:sz w:val="20"/>
          <w:szCs w:val="20"/>
          <w:color w:val="auto"/>
        </w:rPr>
      </w:pPr>
      <w:r>
        <w:rPr>
          <w:rFonts w:ascii="Times New Roman" w:cs="Times New Roman" w:eastAsia="Times New Roman" w:hAnsi="Times New Roman"/>
          <w:sz w:val="17"/>
          <w:szCs w:val="17"/>
          <w:color w:val="0000FF"/>
        </w:rPr>
        <w:t xml:space="preserve">/s/ Jessica Cauley, Attorney-in- </w:t>
      </w:r>
      <w:r>
        <w:rPr>
          <w:rFonts w:ascii="Times New Roman" w:cs="Times New Roman" w:eastAsia="Times New Roman" w:hAnsi="Times New Roman"/>
          <w:sz w:val="34"/>
          <w:szCs w:val="34"/>
          <w:color w:val="0000FF"/>
          <w:vertAlign w:val="subscript"/>
        </w:rPr>
        <w:t>03/10/2026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-27940</wp:posOffset>
            </wp:positionV>
            <wp:extent cx="13576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763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 for Jonathan C. Stein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-18415</wp:posOffset>
            </wp:positionV>
            <wp:extent cx="11322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32205" cy="8255"/>
                    </a:xfrm>
                    <a:prstGeom prst="rect">
                      <a:avLst/>
                    </a:prstGeom>
                    <a:noFill/>
                  </pic:spPr>
                </pic:pic>
              </a:graphicData>
            </a:graphic>
          </wp:anchor>
        </w:drawing>
        <w:drawing>
          <wp:anchor simplePos="0" relativeHeight="251657728" behindDoc="1" locked="0" layoutInCell="0" allowOverlap="1">
            <wp:simplePos x="0" y="0"/>
            <wp:positionH relativeFrom="column">
              <wp:posOffset>5581015</wp:posOffset>
            </wp:positionH>
            <wp:positionV relativeFrom="paragraph">
              <wp:posOffset>-85090</wp:posOffset>
            </wp:positionV>
            <wp:extent cx="4953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95300" cy="8255"/>
                    </a:xfrm>
                    <a:prstGeom prst="rect">
                      <a:avLst/>
                    </a:prstGeom>
                    <a:noFill/>
                  </pic:spPr>
                </pic:pic>
              </a:graphicData>
            </a:graphic>
          </wp:anchor>
        </w:drawing>
      </w:r>
    </w:p>
    <w:p>
      <w:pPr>
        <w:spacing w:after="0" w:line="3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4"/>
          <w:szCs w:val="24"/>
          <w:color w:val="auto"/>
        </w:rPr>
      </w:pPr>
    </w:p>
    <w:p>
      <w:pPr>
        <w:jc w:val="both"/>
        <w:ind w:left="40" w:right="3440" w:firstLine="5"/>
        <w:spacing w:after="0" w:line="317" w:lineRule="auto"/>
        <w:tabs>
          <w:tab w:leader="none" w:pos="179"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spacing w:after="0" w:line="59"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u w:val="single" w:color="auto"/>
          <w:color w:val="auto"/>
        </w:rPr>
        <w:t>POWER OF ATTORNEY</w:t>
      </w:r>
    </w:p>
    <w:p>
      <w:pPr>
        <w:spacing w:after="0" w:line="323" w:lineRule="exact"/>
        <w:rPr>
          <w:sz w:val="20"/>
          <w:szCs w:val="20"/>
          <w:color w:val="auto"/>
        </w:rPr>
      </w:pPr>
    </w:p>
    <w:p>
      <w:pPr>
        <w:jc w:val="both"/>
        <w:ind w:firstLine="738"/>
        <w:spacing w:after="0" w:line="251" w:lineRule="auto"/>
        <w:rPr>
          <w:sz w:val="20"/>
          <w:szCs w:val="20"/>
          <w:color w:val="auto"/>
        </w:rPr>
      </w:pPr>
      <w:r>
        <w:rPr>
          <w:rFonts w:ascii="Arial" w:cs="Arial" w:eastAsia="Arial" w:hAnsi="Arial"/>
          <w:sz w:val="19"/>
          <w:szCs w:val="19"/>
          <w:color w:val="232323"/>
        </w:rPr>
        <w:t xml:space="preserve">The undersigned hereby </w:t>
      </w:r>
      <w:r>
        <w:rPr>
          <w:rFonts w:ascii="Arial" w:cs="Arial" w:eastAsia="Arial" w:hAnsi="Arial"/>
          <w:sz w:val="19"/>
          <w:szCs w:val="19"/>
          <w:color w:val="000000"/>
        </w:rPr>
        <w:t>constitutes and appoints each of</w:t>
      </w:r>
      <w:r>
        <w:rPr>
          <w:rFonts w:ascii="Arial" w:cs="Arial" w:eastAsia="Arial" w:hAnsi="Arial"/>
          <w:sz w:val="19"/>
          <w:szCs w:val="19"/>
          <w:color w:val="232323"/>
        </w:rPr>
        <w:t xml:space="preserve"> </w:t>
      </w:r>
      <w:r>
        <w:rPr>
          <w:rFonts w:ascii="Arial" w:cs="Arial" w:eastAsia="Arial" w:hAnsi="Arial"/>
          <w:sz w:val="19"/>
          <w:szCs w:val="19"/>
          <w:u w:val="single" w:color="auto"/>
          <w:color w:val="000000"/>
        </w:rPr>
        <w:t>MARY A FRANCIS</w:t>
      </w:r>
      <w:r>
        <w:rPr>
          <w:rFonts w:ascii="Arial" w:cs="Arial" w:eastAsia="Arial" w:hAnsi="Arial"/>
          <w:sz w:val="19"/>
          <w:szCs w:val="19"/>
          <w:color w:val="000000"/>
        </w:rPr>
        <w:t>,</w:t>
      </w:r>
      <w:r>
        <w:rPr>
          <w:rFonts w:ascii="Arial" w:cs="Arial" w:eastAsia="Arial" w:hAnsi="Arial"/>
          <w:sz w:val="19"/>
          <w:szCs w:val="19"/>
          <w:color w:val="232323"/>
        </w:rPr>
        <w:t xml:space="preserve"> </w:t>
      </w:r>
      <w:r>
        <w:rPr>
          <w:rFonts w:ascii="Arial" w:cs="Arial" w:eastAsia="Arial" w:hAnsi="Arial"/>
          <w:sz w:val="19"/>
          <w:szCs w:val="19"/>
          <w:u w:val="single" w:color="auto"/>
          <w:color w:val="000000"/>
        </w:rPr>
        <w:t>CHRISTOPHER A. BUTNER</w:t>
      </w:r>
      <w:r>
        <w:rPr>
          <w:rFonts w:ascii="Arial" w:cs="Arial" w:eastAsia="Arial" w:hAnsi="Arial"/>
          <w:sz w:val="19"/>
          <w:szCs w:val="19"/>
          <w:color w:val="000000"/>
        </w:rPr>
        <w:t>,</w:t>
      </w:r>
      <w:r>
        <w:rPr>
          <w:rFonts w:ascii="Arial" w:cs="Arial" w:eastAsia="Arial" w:hAnsi="Arial"/>
          <w:sz w:val="19"/>
          <w:szCs w:val="19"/>
          <w:color w:val="232323"/>
        </w:rPr>
        <w:t xml:space="preserve"> </w:t>
      </w:r>
      <w:r>
        <w:rPr>
          <w:rFonts w:ascii="Arial" w:cs="Arial" w:eastAsia="Arial" w:hAnsi="Arial"/>
          <w:sz w:val="19"/>
          <w:szCs w:val="19"/>
          <w:u w:val="single" w:color="auto"/>
          <w:color w:val="000000"/>
        </w:rPr>
        <w:t>CHRISTINE L. CAVALLO</w:t>
      </w:r>
      <w:r>
        <w:rPr>
          <w:rFonts w:ascii="Arial" w:cs="Arial" w:eastAsia="Arial" w:hAnsi="Arial"/>
          <w:sz w:val="19"/>
          <w:szCs w:val="19"/>
          <w:color w:val="000000"/>
        </w:rPr>
        <w:t xml:space="preserve">, </w:t>
      </w:r>
      <w:r>
        <w:rPr>
          <w:rFonts w:ascii="Arial" w:cs="Arial" w:eastAsia="Arial" w:hAnsi="Arial"/>
          <w:sz w:val="19"/>
          <w:szCs w:val="19"/>
          <w:u w:val="single" w:color="auto"/>
          <w:color w:val="000000"/>
        </w:rPr>
        <w:t>KARI H. ENDRIES</w:t>
      </w:r>
      <w:r>
        <w:rPr>
          <w:rFonts w:ascii="Arial" w:cs="Arial" w:eastAsia="Arial" w:hAnsi="Arial"/>
          <w:sz w:val="19"/>
          <w:szCs w:val="19"/>
          <w:color w:val="000000"/>
        </w:rPr>
        <w:t xml:space="preserve">, </w:t>
      </w:r>
      <w:r>
        <w:rPr>
          <w:rFonts w:ascii="Arial" w:cs="Arial" w:eastAsia="Arial" w:hAnsi="Arial"/>
          <w:sz w:val="19"/>
          <w:szCs w:val="19"/>
          <w:u w:val="single" w:color="auto"/>
          <w:color w:val="000000"/>
        </w:rPr>
        <w:t>ROSE Z. PIERSON, CARRIE HO</w:t>
      </w:r>
      <w:r>
        <w:rPr>
          <w:rFonts w:ascii="Arial" w:cs="Arial" w:eastAsia="Arial" w:hAnsi="Arial"/>
          <w:sz w:val="19"/>
          <w:szCs w:val="19"/>
          <w:color w:val="000000"/>
        </w:rPr>
        <w:t xml:space="preserve">, and </w:t>
      </w:r>
      <w:r>
        <w:rPr>
          <w:rFonts w:ascii="Arial" w:cs="Arial" w:eastAsia="Arial" w:hAnsi="Arial"/>
          <w:sz w:val="19"/>
          <w:szCs w:val="19"/>
          <w:u w:val="single" w:color="auto"/>
          <w:color w:val="000000"/>
        </w:rPr>
        <w:t>JESSICA CAULEY</w:t>
      </w:r>
      <w:r>
        <w:rPr>
          <w:rFonts w:ascii="Arial" w:cs="Arial" w:eastAsia="Arial" w:hAnsi="Arial"/>
          <w:sz w:val="19"/>
          <w:szCs w:val="19"/>
          <w:color w:val="000000"/>
        </w:rPr>
        <w:t xml:space="preserve"> signing singly, the undersigned’s true and lawful attorney-in-fact to:</w:t>
      </w:r>
    </w:p>
    <w:p>
      <w:pPr>
        <w:spacing w:after="0" w:line="157" w:lineRule="exact"/>
        <w:rPr>
          <w:sz w:val="20"/>
          <w:szCs w:val="20"/>
          <w:color w:val="auto"/>
        </w:rPr>
      </w:pPr>
    </w:p>
    <w:p>
      <w:pPr>
        <w:jc w:val="both"/>
        <w:ind w:firstLine="751"/>
        <w:spacing w:after="0" w:line="244" w:lineRule="auto"/>
        <w:tabs>
          <w:tab w:leader="none" w:pos="994" w:val="left"/>
        </w:tabs>
        <w:numPr>
          <w:ilvl w:val="0"/>
          <w:numId w:val="4"/>
        </w:numPr>
        <w:rPr>
          <w:rFonts w:ascii="Arial" w:cs="Arial" w:eastAsia="Arial" w:hAnsi="Arial"/>
          <w:sz w:val="19"/>
          <w:szCs w:val="19"/>
          <w:color w:val="232323"/>
        </w:rPr>
      </w:pPr>
      <w:r>
        <w:rPr>
          <w:rFonts w:ascii="Arial" w:cs="Arial" w:eastAsia="Arial" w:hAnsi="Arial"/>
          <w:sz w:val="19"/>
          <w:szCs w:val="19"/>
          <w:color w:val="232323"/>
        </w:rPr>
        <w:t xml:space="preserve">Obtain credentials (including codes or passwords) to enable the undersigned, </w:t>
      </w:r>
      <w:r>
        <w:rPr>
          <w:rFonts w:ascii="Arial" w:cs="Arial" w:eastAsia="Arial" w:hAnsi="Arial"/>
          <w:sz w:val="19"/>
          <w:szCs w:val="19"/>
          <w:color w:val="494949"/>
        </w:rPr>
        <w:t>in</w:t>
      </w:r>
      <w:r>
        <w:rPr>
          <w:rFonts w:ascii="Arial" w:cs="Arial" w:eastAsia="Arial" w:hAnsi="Arial"/>
          <w:sz w:val="19"/>
          <w:szCs w:val="19"/>
          <w:color w:val="232323"/>
        </w:rPr>
        <w:t xml:space="preserve"> the undersigned’s capacity as an officer and/or director of Hess Midstream LP, a Delaware limited partnership </w:t>
      </w:r>
      <w:r>
        <w:rPr>
          <w:rFonts w:ascii="Arial" w:cs="Arial" w:eastAsia="Arial" w:hAnsi="Arial"/>
          <w:sz w:val="19"/>
          <w:szCs w:val="19"/>
          <w:color w:val="3A3A3A"/>
        </w:rPr>
        <w:t>(the</w:t>
      </w:r>
      <w:r>
        <w:rPr>
          <w:rFonts w:ascii="Arial" w:cs="Arial" w:eastAsia="Arial" w:hAnsi="Arial"/>
          <w:sz w:val="19"/>
          <w:szCs w:val="19"/>
          <w:color w:val="232323"/>
        </w:rPr>
        <w:t xml:space="preserve"> “Company”), to submit and file documents, forms and information via </w:t>
      </w:r>
      <w:r>
        <w:rPr>
          <w:rFonts w:ascii="Arial" w:cs="Arial" w:eastAsia="Arial" w:hAnsi="Arial"/>
          <w:sz w:val="19"/>
          <w:szCs w:val="19"/>
          <w:color w:val="3A3A3A"/>
        </w:rPr>
        <w:t>the</w:t>
      </w:r>
      <w:r>
        <w:rPr>
          <w:rFonts w:ascii="Arial" w:cs="Arial" w:eastAsia="Arial" w:hAnsi="Arial"/>
          <w:sz w:val="19"/>
          <w:szCs w:val="19"/>
          <w:color w:val="232323"/>
        </w:rPr>
        <w:t xml:space="preserve"> U.S. Securities and Exchange Commission (“SEC”) Electronic Data Gathering, Analysis, and Retrieval (“EDGAR”) system, including enrolling the undersigned in EDGAR Next or any successor filing system;</w:t>
      </w:r>
    </w:p>
    <w:p>
      <w:pPr>
        <w:spacing w:after="0" w:line="164" w:lineRule="exact"/>
        <w:rPr>
          <w:rFonts w:ascii="Arial" w:cs="Arial" w:eastAsia="Arial" w:hAnsi="Arial"/>
          <w:sz w:val="19"/>
          <w:szCs w:val="19"/>
          <w:color w:val="232323"/>
        </w:rPr>
      </w:pPr>
    </w:p>
    <w:p>
      <w:pPr>
        <w:jc w:val="both"/>
        <w:ind w:firstLine="751"/>
        <w:spacing w:after="0" w:line="241" w:lineRule="auto"/>
        <w:tabs>
          <w:tab w:leader="none" w:pos="994" w:val="left"/>
        </w:tabs>
        <w:numPr>
          <w:ilvl w:val="0"/>
          <w:numId w:val="4"/>
        </w:numPr>
        <w:rPr>
          <w:rFonts w:ascii="Arial" w:cs="Arial" w:eastAsia="Arial" w:hAnsi="Arial"/>
          <w:sz w:val="19"/>
          <w:szCs w:val="19"/>
          <w:color w:val="232323"/>
        </w:rPr>
      </w:pPr>
      <w:r>
        <w:rPr>
          <w:rFonts w:ascii="Arial" w:cs="Arial" w:eastAsia="Arial" w:hAnsi="Arial"/>
          <w:sz w:val="19"/>
          <w:szCs w:val="19"/>
          <w:color w:val="auto"/>
        </w:rPr>
        <w:t>Do and perform any and all acts for and on behalf of the undersigned which may be necessary to serve as an account administrator for the undersigned’s EDGAR account, including (i) appoint, remove and replace account administrators, account users, and delegated entities; (ii) maintain the security of the undersigned’s EDGAR account, including modification of access codes; (iii) maintain, modify and certify the accuracy of information on the undersigned’s EDGAR account dashboard; and (iv) any other actions contemplated by Rule 10 of Regulation S-T;</w:t>
      </w:r>
    </w:p>
    <w:p>
      <w:pPr>
        <w:spacing w:after="0" w:line="167" w:lineRule="exact"/>
        <w:rPr>
          <w:rFonts w:ascii="Arial" w:cs="Arial" w:eastAsia="Arial" w:hAnsi="Arial"/>
          <w:sz w:val="19"/>
          <w:szCs w:val="19"/>
          <w:color w:val="232323"/>
        </w:rPr>
      </w:pPr>
    </w:p>
    <w:p>
      <w:pPr>
        <w:jc w:val="both"/>
        <w:ind w:firstLine="751"/>
        <w:spacing w:after="0" w:line="251" w:lineRule="auto"/>
        <w:tabs>
          <w:tab w:leader="none" w:pos="994" w:val="left"/>
        </w:tabs>
        <w:numPr>
          <w:ilvl w:val="0"/>
          <w:numId w:val="4"/>
        </w:numPr>
        <w:rPr>
          <w:rFonts w:ascii="Arial" w:cs="Arial" w:eastAsia="Arial" w:hAnsi="Arial"/>
          <w:sz w:val="19"/>
          <w:szCs w:val="19"/>
          <w:color w:val="232323"/>
        </w:rPr>
      </w:pPr>
      <w:r>
        <w:rPr>
          <w:rFonts w:ascii="Arial" w:cs="Arial" w:eastAsia="Arial" w:hAnsi="Arial"/>
          <w:sz w:val="19"/>
          <w:szCs w:val="19"/>
          <w:color w:val="auto"/>
        </w:rPr>
        <w:t>Cause the Company to accept a delegation of authority from the undersigned’s EDGAR account administrators and authorize the Company’s EDGAR account administrators pursuant to that delegated entity designation to appoint, remove or replace users for the undersigned’s EDGAR account;</w:t>
      </w:r>
    </w:p>
    <w:p>
      <w:pPr>
        <w:spacing w:after="0" w:line="157" w:lineRule="exact"/>
        <w:rPr>
          <w:rFonts w:ascii="Arial" w:cs="Arial" w:eastAsia="Arial" w:hAnsi="Arial"/>
          <w:sz w:val="19"/>
          <w:szCs w:val="19"/>
          <w:color w:val="232323"/>
        </w:rPr>
      </w:pPr>
    </w:p>
    <w:p>
      <w:pPr>
        <w:jc w:val="both"/>
        <w:ind w:firstLine="751"/>
        <w:spacing w:after="0" w:line="244" w:lineRule="auto"/>
        <w:tabs>
          <w:tab w:leader="none" w:pos="994" w:val="left"/>
        </w:tabs>
        <w:numPr>
          <w:ilvl w:val="0"/>
          <w:numId w:val="4"/>
        </w:numPr>
        <w:rPr>
          <w:rFonts w:ascii="Arial" w:cs="Arial" w:eastAsia="Arial" w:hAnsi="Arial"/>
          <w:sz w:val="19"/>
          <w:szCs w:val="19"/>
          <w:color w:val="232323"/>
        </w:rPr>
      </w:pPr>
      <w:r>
        <w:rPr>
          <w:rFonts w:ascii="Arial" w:cs="Arial" w:eastAsia="Arial" w:hAnsi="Arial"/>
          <w:sz w:val="19"/>
          <w:szCs w:val="19"/>
          <w:color w:val="232323"/>
        </w:rPr>
        <w:t>Execute for and on behalf of the undersigned a Form ID, Forms 3</w:t>
      </w:r>
      <w:r>
        <w:rPr>
          <w:rFonts w:ascii="Arial" w:cs="Arial" w:eastAsia="Arial" w:hAnsi="Arial"/>
          <w:sz w:val="19"/>
          <w:szCs w:val="19"/>
          <w:color w:val="5D5D5D"/>
        </w:rPr>
        <w:t>,</w:t>
      </w:r>
      <w:r>
        <w:rPr>
          <w:rFonts w:ascii="Arial" w:cs="Arial" w:eastAsia="Arial" w:hAnsi="Arial"/>
          <w:sz w:val="19"/>
          <w:szCs w:val="19"/>
          <w:color w:val="232323"/>
        </w:rPr>
        <w:t xml:space="preserve"> 4 and 5, and Forms 144, each including amendments thereto, required to be filed </w:t>
      </w:r>
      <w:r>
        <w:rPr>
          <w:rFonts w:ascii="Arial" w:cs="Arial" w:eastAsia="Arial" w:hAnsi="Arial"/>
          <w:sz w:val="19"/>
          <w:szCs w:val="19"/>
          <w:color w:val="131313"/>
        </w:rPr>
        <w:t>in</w:t>
      </w:r>
      <w:r>
        <w:rPr>
          <w:rFonts w:ascii="Arial" w:cs="Arial" w:eastAsia="Arial" w:hAnsi="Arial"/>
          <w:sz w:val="19"/>
          <w:szCs w:val="19"/>
          <w:color w:val="232323"/>
        </w:rPr>
        <w:t xml:space="preserve"> accordance with Section 16(a) of the Securities Exchange Act of 1934</w:t>
      </w:r>
      <w:r>
        <w:rPr>
          <w:rFonts w:ascii="Arial" w:cs="Arial" w:eastAsia="Arial" w:hAnsi="Arial"/>
          <w:sz w:val="19"/>
          <w:szCs w:val="19"/>
          <w:color w:val="5D5D5D"/>
        </w:rPr>
        <w:t>,</w:t>
      </w:r>
      <w:r>
        <w:rPr>
          <w:rFonts w:ascii="Arial" w:cs="Arial" w:eastAsia="Arial" w:hAnsi="Arial"/>
          <w:sz w:val="19"/>
          <w:szCs w:val="19"/>
          <w:color w:val="232323"/>
        </w:rPr>
        <w:t xml:space="preserve"> as amended </w:t>
      </w:r>
      <w:r>
        <w:rPr>
          <w:rFonts w:ascii="Arial" w:cs="Arial" w:eastAsia="Arial" w:hAnsi="Arial"/>
          <w:sz w:val="19"/>
          <w:szCs w:val="19"/>
          <w:color w:val="3A3A3A"/>
        </w:rPr>
        <w:t xml:space="preserve">(the </w:t>
      </w:r>
      <w:r>
        <w:rPr>
          <w:rFonts w:ascii="Arial" w:cs="Arial" w:eastAsia="Arial" w:hAnsi="Arial"/>
          <w:sz w:val="19"/>
          <w:szCs w:val="19"/>
          <w:color w:val="6B6B6B"/>
        </w:rPr>
        <w:t>“</w:t>
      </w:r>
      <w:r>
        <w:rPr>
          <w:rFonts w:ascii="Arial" w:cs="Arial" w:eastAsia="Arial" w:hAnsi="Arial"/>
          <w:sz w:val="19"/>
          <w:szCs w:val="19"/>
          <w:color w:val="232323"/>
        </w:rPr>
        <w:t>Exchange Act</w:t>
      </w:r>
      <w:r>
        <w:rPr>
          <w:rFonts w:ascii="Arial" w:cs="Arial" w:eastAsia="Arial" w:hAnsi="Arial"/>
          <w:sz w:val="19"/>
          <w:szCs w:val="19"/>
          <w:color w:val="6B6B6B"/>
        </w:rPr>
        <w:t>”</w:t>
      </w:r>
      <w:r>
        <w:rPr>
          <w:rFonts w:ascii="Arial" w:cs="Arial" w:eastAsia="Arial" w:hAnsi="Arial"/>
          <w:sz w:val="19"/>
          <w:szCs w:val="19"/>
          <w:color w:val="3A3A3A"/>
        </w:rPr>
        <w:t xml:space="preserve">), </w:t>
      </w:r>
      <w:r>
        <w:rPr>
          <w:rFonts w:ascii="Arial" w:cs="Arial" w:eastAsia="Arial" w:hAnsi="Arial"/>
          <w:sz w:val="19"/>
          <w:szCs w:val="19"/>
          <w:color w:val="232323"/>
        </w:rPr>
        <w:t>and the rules</w:t>
      </w:r>
      <w:r>
        <w:rPr>
          <w:rFonts w:ascii="Arial" w:cs="Arial" w:eastAsia="Arial" w:hAnsi="Arial"/>
          <w:sz w:val="19"/>
          <w:szCs w:val="19"/>
          <w:color w:val="3A3A3A"/>
        </w:rPr>
        <w:t xml:space="preserve"> thereunder and Rule 144 under the Securities Act of 1933, as amended (“Rule 144”), respectively;</w:t>
      </w:r>
    </w:p>
    <w:p>
      <w:pPr>
        <w:spacing w:after="0" w:line="178" w:lineRule="exact"/>
        <w:rPr>
          <w:rFonts w:ascii="Arial" w:cs="Arial" w:eastAsia="Arial" w:hAnsi="Arial"/>
          <w:sz w:val="19"/>
          <w:szCs w:val="19"/>
          <w:color w:val="232323"/>
        </w:rPr>
      </w:pPr>
    </w:p>
    <w:p>
      <w:pPr>
        <w:jc w:val="both"/>
        <w:ind w:firstLine="751"/>
        <w:spacing w:after="0" w:line="251" w:lineRule="auto"/>
        <w:tabs>
          <w:tab w:leader="none" w:pos="994" w:val="left"/>
        </w:tabs>
        <w:numPr>
          <w:ilvl w:val="0"/>
          <w:numId w:val="4"/>
        </w:numPr>
        <w:rPr>
          <w:rFonts w:ascii="Arial" w:cs="Arial" w:eastAsia="Arial" w:hAnsi="Arial"/>
          <w:sz w:val="19"/>
          <w:szCs w:val="19"/>
          <w:color w:val="232323"/>
        </w:rPr>
      </w:pPr>
      <w:r>
        <w:rPr>
          <w:rFonts w:ascii="Arial" w:cs="Arial" w:eastAsia="Arial" w:hAnsi="Arial"/>
          <w:sz w:val="19"/>
          <w:szCs w:val="19"/>
          <w:color w:val="232323"/>
        </w:rPr>
        <w:t xml:space="preserve">Do and perform any and all acts for and on behalf of the undersigned which may </w:t>
      </w:r>
      <w:r>
        <w:rPr>
          <w:rFonts w:ascii="Arial" w:cs="Arial" w:eastAsia="Arial" w:hAnsi="Arial"/>
          <w:sz w:val="19"/>
          <w:szCs w:val="19"/>
          <w:color w:val="3A3A3A"/>
        </w:rPr>
        <w:t>be</w:t>
      </w:r>
      <w:r>
        <w:rPr>
          <w:rFonts w:ascii="Arial" w:cs="Arial" w:eastAsia="Arial" w:hAnsi="Arial"/>
          <w:sz w:val="19"/>
          <w:szCs w:val="19"/>
          <w:color w:val="232323"/>
        </w:rPr>
        <w:t xml:space="preserve"> necessary or desirable to complete and execute any such Form ID, Form 3, 4 or 5, or Form 144, complete and execute any amendment or amendments thereto, and timely file such form with the SEC and any stock exchange or similar authority; and</w:t>
      </w:r>
    </w:p>
    <w:p>
      <w:pPr>
        <w:spacing w:after="0" w:line="157" w:lineRule="exact"/>
        <w:rPr>
          <w:rFonts w:ascii="Arial" w:cs="Arial" w:eastAsia="Arial" w:hAnsi="Arial"/>
          <w:sz w:val="19"/>
          <w:szCs w:val="19"/>
          <w:color w:val="232323"/>
        </w:rPr>
      </w:pPr>
    </w:p>
    <w:p>
      <w:pPr>
        <w:jc w:val="both"/>
        <w:ind w:firstLine="751"/>
        <w:spacing w:after="0" w:line="244" w:lineRule="auto"/>
        <w:tabs>
          <w:tab w:leader="none" w:pos="994" w:val="left"/>
        </w:tabs>
        <w:numPr>
          <w:ilvl w:val="0"/>
          <w:numId w:val="4"/>
        </w:numPr>
        <w:rPr>
          <w:rFonts w:ascii="Arial" w:cs="Arial" w:eastAsia="Arial" w:hAnsi="Arial"/>
          <w:sz w:val="19"/>
          <w:szCs w:val="19"/>
          <w:color w:val="232323"/>
        </w:rPr>
      </w:pPr>
      <w:r>
        <w:rPr>
          <w:rFonts w:ascii="Arial" w:cs="Arial" w:eastAsia="Arial" w:hAnsi="Arial"/>
          <w:sz w:val="19"/>
          <w:szCs w:val="19"/>
          <w:color w:val="232323"/>
        </w:rPr>
        <w:t>Take any other action of any type whatsoever in connection with the foregoing which</w:t>
      </w:r>
      <w:r>
        <w:rPr>
          <w:rFonts w:ascii="Arial" w:cs="Arial" w:eastAsia="Arial" w:hAnsi="Arial"/>
          <w:sz w:val="19"/>
          <w:szCs w:val="19"/>
          <w:color w:val="6B6B6B"/>
        </w:rPr>
        <w:t>,</w:t>
      </w:r>
      <w:r>
        <w:rPr>
          <w:rFonts w:ascii="Arial" w:cs="Arial" w:eastAsia="Arial" w:hAnsi="Arial"/>
          <w:sz w:val="19"/>
          <w:szCs w:val="19"/>
          <w:color w:val="232323"/>
        </w:rPr>
        <w:t xml:space="preserve"> in the opinion of such attorney</w:t>
      </w:r>
      <w:r>
        <w:rPr>
          <w:rFonts w:ascii="Arial" w:cs="Arial" w:eastAsia="Arial" w:hAnsi="Arial"/>
          <w:sz w:val="19"/>
          <w:szCs w:val="19"/>
          <w:color w:val="494949"/>
        </w:rPr>
        <w:t>-i</w:t>
      </w:r>
      <w:r>
        <w:rPr>
          <w:rFonts w:ascii="Arial" w:cs="Arial" w:eastAsia="Arial" w:hAnsi="Arial"/>
          <w:sz w:val="19"/>
          <w:szCs w:val="19"/>
          <w:color w:val="232323"/>
        </w:rPr>
        <w:t>n-fact</w:t>
      </w:r>
      <w:r>
        <w:rPr>
          <w:rFonts w:ascii="Arial" w:cs="Arial" w:eastAsia="Arial" w:hAnsi="Arial"/>
          <w:sz w:val="19"/>
          <w:szCs w:val="19"/>
          <w:color w:val="6B6B6B"/>
        </w:rPr>
        <w:t>,</w:t>
      </w:r>
      <w:r>
        <w:rPr>
          <w:rFonts w:ascii="Arial" w:cs="Arial" w:eastAsia="Arial" w:hAnsi="Arial"/>
          <w:sz w:val="19"/>
          <w:szCs w:val="19"/>
          <w:color w:val="232323"/>
        </w:rPr>
        <w:t xml:space="preserve"> may be of benefit to</w:t>
      </w:r>
      <w:r>
        <w:rPr>
          <w:rFonts w:ascii="Arial" w:cs="Arial" w:eastAsia="Arial" w:hAnsi="Arial"/>
          <w:sz w:val="19"/>
          <w:szCs w:val="19"/>
          <w:color w:val="6B6B6B"/>
        </w:rPr>
        <w:t>,</w:t>
      </w:r>
      <w:r>
        <w:rPr>
          <w:rFonts w:ascii="Arial" w:cs="Arial" w:eastAsia="Arial" w:hAnsi="Arial"/>
          <w:sz w:val="19"/>
          <w:szCs w:val="19"/>
          <w:color w:val="232323"/>
        </w:rPr>
        <w:t xml:space="preserve"> in the best interest of</w:t>
      </w:r>
      <w:r>
        <w:rPr>
          <w:rFonts w:ascii="Arial" w:cs="Arial" w:eastAsia="Arial" w:hAnsi="Arial"/>
          <w:sz w:val="19"/>
          <w:szCs w:val="19"/>
          <w:color w:val="6B6B6B"/>
        </w:rPr>
        <w:t>,</w:t>
      </w:r>
      <w:r>
        <w:rPr>
          <w:rFonts w:ascii="Arial" w:cs="Arial" w:eastAsia="Arial" w:hAnsi="Arial"/>
          <w:sz w:val="19"/>
          <w:szCs w:val="19"/>
          <w:color w:val="232323"/>
        </w:rPr>
        <w:t xml:space="preserve"> or legally required by, the undersigned, it being understood that </w:t>
      </w:r>
      <w:r>
        <w:rPr>
          <w:rFonts w:ascii="Arial" w:cs="Arial" w:eastAsia="Arial" w:hAnsi="Arial"/>
          <w:sz w:val="19"/>
          <w:szCs w:val="19"/>
          <w:color w:val="131313"/>
        </w:rPr>
        <w:t>the</w:t>
      </w:r>
      <w:r>
        <w:rPr>
          <w:rFonts w:ascii="Arial" w:cs="Arial" w:eastAsia="Arial" w:hAnsi="Arial"/>
          <w:sz w:val="19"/>
          <w:szCs w:val="19"/>
          <w:color w:val="232323"/>
        </w:rPr>
        <w:t xml:space="preserv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78" w:lineRule="exact"/>
        <w:rPr>
          <w:sz w:val="20"/>
          <w:szCs w:val="20"/>
          <w:color w:val="auto"/>
        </w:rPr>
      </w:pPr>
    </w:p>
    <w:p>
      <w:pPr>
        <w:jc w:val="both"/>
        <w:ind w:firstLine="731"/>
        <w:spacing w:after="0" w:line="239" w:lineRule="auto"/>
        <w:rPr>
          <w:sz w:val="20"/>
          <w:szCs w:val="20"/>
          <w:color w:val="auto"/>
        </w:rPr>
      </w:pPr>
      <w:r>
        <w:rPr>
          <w:rFonts w:ascii="Arial" w:cs="Arial" w:eastAsia="Arial" w:hAnsi="Arial"/>
          <w:sz w:val="19"/>
          <w:szCs w:val="19"/>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598170</wp:posOffset>
            </wp:positionV>
            <wp:extent cx="699071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6990715" cy="41910"/>
                    </a:xfrm>
                    <a:prstGeom prst="rect">
                      <a:avLst/>
                    </a:prstGeom>
                    <a:noFill/>
                  </pic:spPr>
                </pic:pic>
              </a:graphicData>
            </a:graphic>
          </wp:anchor>
        </w:drawing>
      </w:r>
    </w:p>
    <w:p>
      <w:pPr>
        <w:sectPr>
          <w:pgSz w:w="11900" w:h="16838" w:orient="portrait"/>
          <w:cols w:equalWidth="0" w:num="1">
            <w:col w:w="10940"/>
          </w:cols>
          <w:pgMar w:left="460" w:top="1440" w:right="499" w:bottom="1440" w:gutter="0" w:footer="0" w:header="0"/>
        </w:sectPr>
      </w:pPr>
    </w:p>
    <w:bookmarkStart w:id="2" w:name="page3"/>
    <w:bookmarkEnd w:id="2"/>
    <w:p>
      <w:pPr>
        <w:jc w:val="both"/>
        <w:spacing w:after="0" w:line="251" w:lineRule="auto"/>
        <w:rPr>
          <w:sz w:val="20"/>
          <w:szCs w:val="20"/>
          <w:color w:val="auto"/>
        </w:rPr>
      </w:pPr>
      <w:r>
        <w:rPr>
          <w:rFonts w:ascii="Arial" w:cs="Arial" w:eastAsia="Arial" w:hAnsi="Arial"/>
          <w:sz w:val="19"/>
          <w:szCs w:val="19"/>
          <w:color w:val="auto"/>
        </w:rPr>
        <w:t>foregoing attorneys-in-fact, in serving in such capacity at the request of the undersigned, are not assuming, nor is the Company or any person appointed under Section 2 or 3 above assuming, any of the undersigned's responsibilities to comply with Section 16 of the Exchange Act or Rule 144.</w:t>
      </w:r>
    </w:p>
    <w:p>
      <w:pPr>
        <w:spacing w:after="0" w:line="157" w:lineRule="exact"/>
        <w:rPr>
          <w:sz w:val="20"/>
          <w:szCs w:val="20"/>
          <w:color w:val="auto"/>
        </w:rPr>
      </w:pPr>
    </w:p>
    <w:p>
      <w:pPr>
        <w:jc w:val="both"/>
        <w:ind w:firstLine="731"/>
        <w:spacing w:after="0" w:line="244" w:lineRule="auto"/>
        <w:rPr>
          <w:sz w:val="20"/>
          <w:szCs w:val="20"/>
          <w:color w:val="auto"/>
        </w:rPr>
      </w:pPr>
      <w:r>
        <w:rPr>
          <w:rFonts w:ascii="Arial" w:cs="Arial" w:eastAsia="Arial" w:hAnsi="Arial"/>
          <w:sz w:val="19"/>
          <w:szCs w:val="19"/>
          <w:color w:val="auto"/>
        </w:rPr>
        <w:t>This Power of Attorney shall remain in full force and effect until the undersigned is no longer required to file a Form ID, Forms 3, 4 and 5 or Form 144 with respect to the undersigned’s holdings of and transactions in securities issued by the Company, unless earlier superseded by a new power of attorney regarding the purposes outlined herein or revoked by the undersigned in a signed writing delivered to the foregoing attorneys-in-fact.</w:t>
      </w:r>
    </w:p>
    <w:p>
      <w:pPr>
        <w:spacing w:after="0" w:line="163" w:lineRule="exact"/>
        <w:rPr>
          <w:sz w:val="20"/>
          <w:szCs w:val="20"/>
          <w:color w:val="auto"/>
        </w:rPr>
      </w:pPr>
    </w:p>
    <w:p>
      <w:pPr>
        <w:ind w:left="740"/>
        <w:spacing w:after="0"/>
        <w:rPr>
          <w:sz w:val="20"/>
          <w:szCs w:val="20"/>
          <w:color w:val="auto"/>
        </w:rPr>
      </w:pPr>
      <w:r>
        <w:rPr>
          <w:rFonts w:ascii="Arial" w:cs="Arial" w:eastAsia="Arial" w:hAnsi="Arial"/>
          <w:sz w:val="19"/>
          <w:szCs w:val="19"/>
          <w:b w:val="1"/>
          <w:bCs w:val="1"/>
          <w:color w:val="auto"/>
        </w:rPr>
        <w:t>IN WITNESS WHEREOF</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232323"/>
        </w:rPr>
        <w:t>the undersigned has hereunto set</w:t>
      </w:r>
      <w:r>
        <w:rPr>
          <w:rFonts w:ascii="Arial" w:cs="Arial" w:eastAsia="Arial" w:hAnsi="Arial"/>
          <w:sz w:val="19"/>
          <w:szCs w:val="19"/>
          <w:b w:val="1"/>
          <w:bCs w:val="1"/>
          <w:color w:val="auto"/>
        </w:rPr>
        <w:t xml:space="preserve"> </w:t>
      </w:r>
      <w:r>
        <w:rPr>
          <w:rFonts w:ascii="Arial" w:cs="Arial" w:eastAsia="Arial" w:hAnsi="Arial"/>
          <w:sz w:val="19"/>
          <w:szCs w:val="19"/>
          <w:color w:val="131313"/>
        </w:rPr>
        <w:t>his</w:t>
      </w:r>
      <w:r>
        <w:rPr>
          <w:rFonts w:ascii="Arial" w:cs="Arial" w:eastAsia="Arial" w:hAnsi="Arial"/>
          <w:sz w:val="19"/>
          <w:szCs w:val="19"/>
          <w:b w:val="1"/>
          <w:bCs w:val="1"/>
          <w:color w:val="auto"/>
        </w:rPr>
        <w:t xml:space="preserve"> </w:t>
      </w:r>
      <w:r>
        <w:rPr>
          <w:rFonts w:ascii="Arial" w:cs="Arial" w:eastAsia="Arial" w:hAnsi="Arial"/>
          <w:sz w:val="19"/>
          <w:szCs w:val="19"/>
          <w:color w:val="232323"/>
        </w:rPr>
        <w:t>or her hand this 4th day of November 2025.</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left="5360"/>
        <w:spacing w:after="0"/>
        <w:rPr>
          <w:sz w:val="20"/>
          <w:szCs w:val="20"/>
          <w:color w:val="auto"/>
        </w:rPr>
      </w:pPr>
      <w:r>
        <w:rPr>
          <w:rFonts w:ascii="Arial" w:cs="Arial" w:eastAsia="Arial" w:hAnsi="Arial"/>
          <w:sz w:val="19"/>
          <w:szCs w:val="19"/>
          <w:color w:val="232323"/>
        </w:rPr>
        <w:t>/s/ Jonathan Craig 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8890</wp:posOffset>
            </wp:positionV>
            <wp:extent cx="354520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3545205" cy="8255"/>
                    </a:xfrm>
                    <a:prstGeom prst="rect">
                      <a:avLst/>
                    </a:prstGeom>
                    <a:noFill/>
                  </pic:spPr>
                </pic:pic>
              </a:graphicData>
            </a:graphic>
          </wp:anchor>
        </w:drawing>
      </w:r>
    </w:p>
    <w:p>
      <w:pPr>
        <w:spacing w:after="0" w:line="3" w:lineRule="exact"/>
        <w:rPr>
          <w:sz w:val="20"/>
          <w:szCs w:val="20"/>
          <w:color w:val="auto"/>
        </w:rPr>
      </w:pPr>
    </w:p>
    <w:p>
      <w:pPr>
        <w:jc w:val="center"/>
        <w:ind w:left="5360"/>
        <w:spacing w:after="0"/>
        <w:rPr>
          <w:sz w:val="20"/>
          <w:szCs w:val="20"/>
          <w:color w:val="auto"/>
        </w:rPr>
      </w:pPr>
      <w:r>
        <w:rPr>
          <w:rFonts w:ascii="Arial" w:cs="Arial" w:eastAsia="Arial" w:hAnsi="Arial"/>
          <w:sz w:val="19"/>
          <w:szCs w:val="19"/>
          <w:color w:val="232323"/>
        </w:rPr>
        <w:t>Jonathan Craig Stein</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598170</wp:posOffset>
            </wp:positionV>
            <wp:extent cx="699071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6990715" cy="41910"/>
                    </a:xfrm>
                    <a:prstGeom prst="rect">
                      <a:avLst/>
                    </a:prstGeom>
                    <a:noFill/>
                  </pic:spPr>
                </pic:pic>
              </a:graphicData>
            </a:graphic>
          </wp:anchor>
        </w:drawing>
      </w:r>
    </w:p>
    <w:sectPr>
      <w:pgSz w:w="11900" w:h="16838" w:orient="portrait"/>
      <w:cols w:equalWidth="0" w:num="1">
        <w:col w:w="10940"/>
      </w:cols>
      <w:pgMar w:left="460" w:top="1382"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13" Type="http://schemas.openxmlformats.org/officeDocument/2006/relationships/hyperlink" Target="http://www.sec.gov/cgi-bin/browse-edgar?action=getcompany&amp;CIK=0001702288" TargetMode="External"/><Relationship Id="rId14" Type="http://schemas.openxmlformats.org/officeDocument/2006/relationships/hyperlink" Target="http://www.sec.gov/cgi-bin/browse-edgar?action=getcompany&amp;CIK=00017898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2026-03-10T17:56:43Z</dcterms:created>
  <dcterms:modified xsi:type="dcterms:W3CDTF">2026-03-10T17:56:43Z</dcterms:modified>
</cp:coreProperties>
</file>